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EB1313">
      <w:pPr>
        <w:pStyle w:val="Textoindependiente"/>
        <w:ind w:left="993" w:right="40" w:hanging="993"/>
        <w:rPr>
          <w:rFonts w:ascii="Work Sans" w:hAnsi="Work Sans"/>
          <w:lang w:val="es-ES"/>
        </w:rPr>
      </w:pPr>
      <w:r w:rsidRPr="33D4F330">
        <w:rPr>
          <w:rFonts w:ascii="Work Sans" w:hAnsi="Work Sans"/>
          <w:lang w:val="es-ES"/>
        </w:rPr>
        <w:t xml:space="preserve">Asunto: </w:t>
      </w:r>
      <w:r>
        <w:tab/>
      </w:r>
      <w:r w:rsidRPr="33D4F330">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41E8287A" w14:textId="77777777" w:rsidR="00FA0479" w:rsidRDefault="00FA0479" w:rsidP="00FA0479">
      <w:pPr>
        <w:spacing w:after="0" w:line="240" w:lineRule="auto"/>
        <w:ind w:right="51"/>
        <w:contextualSpacing/>
        <w:jc w:val="both"/>
        <w:rPr>
          <w:rFonts w:ascii="Work Sans" w:eastAsia="Work Sans" w:hAnsi="Work Sans" w:cs="Work Sans"/>
          <w:color w:val="000000" w:themeColor="text1"/>
          <w:sz w:val="24"/>
          <w:szCs w:val="24"/>
        </w:rPr>
      </w:pPr>
      <w:bookmarkStart w:id="0" w:name="OLE_LINK1"/>
      <w:bookmarkStart w:id="1" w:name="OLE_LINK2"/>
      <w:bookmarkStart w:id="2" w:name="OLE_LINK3"/>
      <w:r w:rsidRPr="00397D5F">
        <w:rPr>
          <w:rFonts w:ascii="Work Sans" w:eastAsia="Work Sans" w:hAnsi="Work Sans" w:cs="Work Sans"/>
          <w:color w:val="000000" w:themeColor="text1"/>
          <w:sz w:val="24"/>
          <w:szCs w:val="24"/>
        </w:rPr>
        <w:t>Respetado señor Osorio,</w:t>
      </w:r>
    </w:p>
    <w:p w14:paraId="0265B733" w14:textId="77777777" w:rsidR="00FA0479" w:rsidRPr="00C8782E" w:rsidRDefault="00FA0479" w:rsidP="00FA0479">
      <w:pPr>
        <w:spacing w:after="0" w:line="240" w:lineRule="auto"/>
        <w:ind w:right="51"/>
        <w:contextualSpacing/>
        <w:jc w:val="both"/>
        <w:rPr>
          <w:rFonts w:ascii="Work Sans" w:hAnsi="Work Sans" w:cs="Arial"/>
          <w:sz w:val="24"/>
          <w:szCs w:val="24"/>
        </w:rPr>
      </w:pPr>
    </w:p>
    <w:p w14:paraId="1331E211" w14:textId="77777777" w:rsidR="00FA0479" w:rsidRPr="00C8782E" w:rsidRDefault="00FA0479" w:rsidP="00FA0479">
      <w:pPr>
        <w:spacing w:after="0" w:line="240" w:lineRule="auto"/>
        <w:ind w:right="51"/>
        <w:contextualSpacing/>
        <w:jc w:val="both"/>
        <w:rPr>
          <w:rFonts w:ascii="Work Sans" w:hAnsi="Work Sans" w:cs="Arial"/>
          <w:sz w:val="24"/>
          <w:szCs w:val="24"/>
        </w:rPr>
      </w:pPr>
      <w:r w:rsidRPr="00C8782E">
        <w:rPr>
          <w:rFonts w:ascii="Work Sans" w:hAnsi="Work Sans" w:cs="Arial"/>
          <w:sz w:val="24"/>
          <w:szCs w:val="24"/>
        </w:rPr>
        <w:t>El Ministerio de Minas y Energía, en virtud de la función establecida en el numeral 2 del artículo 2.2.3.2.6.1.2 del Decreto Único Reglamentario del Sector Administrativo de Minas y Energía 1073 de 2015 y en cumplimiento de lo establecido en el inciso 3 del literal a) del artículo 2.2.3.2.6.1.4 del precitado Decreto y demás normativa aplicable, lleva a cabo la validación de las cuentas de subsidios y contribuciones de solidaridad del trimestre en referencia, así:</w:t>
      </w:r>
    </w:p>
    <w:p w14:paraId="7BBA650A" w14:textId="77777777" w:rsidR="00FA0479" w:rsidRPr="00C8782E" w:rsidRDefault="00FA0479" w:rsidP="00FA0479">
      <w:pPr>
        <w:spacing w:after="0" w:line="240" w:lineRule="auto"/>
        <w:ind w:right="51"/>
        <w:contextualSpacing/>
        <w:jc w:val="both"/>
        <w:rPr>
          <w:rFonts w:ascii="Work Sans" w:hAnsi="Work Sans" w:cs="Arial"/>
          <w:sz w:val="24"/>
          <w:szCs w:val="24"/>
        </w:rPr>
      </w:pPr>
    </w:p>
    <w:p w14:paraId="38C330B0" w14:textId="28EB8FEB" w:rsidR="00FA0479" w:rsidRPr="00C8782E" w:rsidRDefault="00FA0479" w:rsidP="00FA0479">
      <w:pPr>
        <w:pStyle w:val="Prrafodelista"/>
        <w:numPr>
          <w:ilvl w:val="0"/>
          <w:numId w:val="5"/>
        </w:numPr>
        <w:spacing w:after="0" w:line="240" w:lineRule="auto"/>
        <w:ind w:left="357" w:hanging="357"/>
        <w:jc w:val="both"/>
        <w:rPr>
          <w:rFonts w:ascii="Work Sans" w:hAnsi="Work Sans" w:cs="Arial"/>
          <w:sz w:val="24"/>
          <w:szCs w:val="24"/>
        </w:rPr>
      </w:pPr>
      <w:r>
        <w:rPr>
          <w:rFonts w:ascii="Work Sans" w:hAnsi="Work Sans" w:cs="Arial"/>
          <w:sz w:val="24"/>
          <w:szCs w:val="24"/>
        </w:rPr>
        <w:t>FRANCA ENERGÍA</w:t>
      </w:r>
      <w:r w:rsidRPr="00C8782E">
        <w:rPr>
          <w:rFonts w:ascii="Work Sans" w:hAnsi="Work Sans" w:cs="Arial"/>
          <w:sz w:val="24"/>
          <w:szCs w:val="24"/>
        </w:rPr>
        <w:t xml:space="preserve">, a través de comunicación escrita con radicado </w:t>
      </w:r>
      <w:r w:rsidR="00924659" w:rsidRPr="00924659">
        <w:rPr>
          <w:rFonts w:ascii="Work Sans" w:hAnsi="Work Sans" w:cs="Arial"/>
          <w:sz w:val="24"/>
          <w:szCs w:val="24"/>
        </w:rPr>
        <w:t>1-2026-016166</w:t>
      </w:r>
      <w:r w:rsidRPr="00EA7F0A">
        <w:rPr>
          <w:rFonts w:ascii="Work Sans" w:hAnsi="Work Sans" w:cs="Arial"/>
          <w:sz w:val="24"/>
          <w:szCs w:val="24"/>
        </w:rPr>
        <w:t xml:space="preserve"> </w:t>
      </w:r>
      <w:r>
        <w:rPr>
          <w:rFonts w:ascii="Work Sans" w:hAnsi="Work Sans" w:cs="Arial"/>
          <w:sz w:val="24"/>
          <w:szCs w:val="24"/>
        </w:rPr>
        <w:t xml:space="preserve">del </w:t>
      </w:r>
      <w:r w:rsidR="00924659">
        <w:rPr>
          <w:rFonts w:ascii="Work Sans" w:hAnsi="Work Sans" w:cs="Arial"/>
          <w:sz w:val="24"/>
          <w:szCs w:val="24"/>
        </w:rPr>
        <w:t>10</w:t>
      </w:r>
      <w:r>
        <w:rPr>
          <w:rFonts w:ascii="Work Sans" w:hAnsi="Work Sans" w:cs="Arial"/>
          <w:sz w:val="24"/>
          <w:szCs w:val="24"/>
        </w:rPr>
        <w:t xml:space="preserve"> de </w:t>
      </w:r>
      <w:r w:rsidR="00924659">
        <w:rPr>
          <w:rFonts w:ascii="Work Sans" w:hAnsi="Work Sans" w:cs="Arial"/>
          <w:sz w:val="24"/>
          <w:szCs w:val="24"/>
        </w:rPr>
        <w:t>abril</w:t>
      </w:r>
      <w:r w:rsidR="00E52103">
        <w:rPr>
          <w:rFonts w:ascii="Work Sans" w:hAnsi="Work Sans" w:cs="Arial"/>
          <w:sz w:val="24"/>
          <w:szCs w:val="24"/>
        </w:rPr>
        <w:t xml:space="preserve"> </w:t>
      </w:r>
      <w:r>
        <w:rPr>
          <w:rFonts w:ascii="Work Sans" w:hAnsi="Work Sans" w:cs="Arial"/>
          <w:sz w:val="24"/>
          <w:szCs w:val="24"/>
        </w:rPr>
        <w:t>de 202</w:t>
      </w:r>
      <w:r w:rsidR="00E52103">
        <w:rPr>
          <w:rFonts w:ascii="Work Sans" w:hAnsi="Work Sans" w:cs="Arial"/>
          <w:sz w:val="24"/>
          <w:szCs w:val="24"/>
        </w:rPr>
        <w:t>6</w:t>
      </w:r>
      <w:r w:rsidRPr="00C8782E">
        <w:rPr>
          <w:rFonts w:ascii="Work Sans" w:hAnsi="Work Sans" w:cs="Arial"/>
          <w:sz w:val="24"/>
          <w:szCs w:val="24"/>
        </w:rPr>
        <w:t xml:space="preserve">, presentó la conciliación de subsidios y contribuciones del Fondo de Solidaridad para Subsidios y Redistribución de Ingresos (FSSRI) correspondiente al </w:t>
      </w:r>
      <w:r w:rsidR="0004104F">
        <w:rPr>
          <w:rFonts w:ascii="Work Sans" w:hAnsi="Work Sans" w:cs="Arial"/>
          <w:sz w:val="24"/>
          <w:szCs w:val="24"/>
        </w:rPr>
        <w:t>primer trimestre de 2026</w:t>
      </w:r>
      <w:r w:rsidRPr="00C8782E">
        <w:rPr>
          <w:rFonts w:ascii="Work Sans" w:hAnsi="Work Sans" w:cs="Arial"/>
          <w:sz w:val="24"/>
          <w:szCs w:val="24"/>
        </w:rPr>
        <w:t>, adjuntando la información soporte.</w:t>
      </w:r>
    </w:p>
    <w:p w14:paraId="332F93C0" w14:textId="77777777" w:rsidR="00FA0479" w:rsidRPr="00C8782E" w:rsidRDefault="00FA0479" w:rsidP="00FA0479">
      <w:pPr>
        <w:spacing w:after="0" w:line="240" w:lineRule="auto"/>
        <w:ind w:right="51"/>
        <w:contextualSpacing/>
        <w:jc w:val="both"/>
        <w:rPr>
          <w:rFonts w:ascii="Work Sans" w:hAnsi="Work Sans" w:cs="Arial"/>
          <w:sz w:val="24"/>
          <w:szCs w:val="24"/>
        </w:rPr>
      </w:pPr>
    </w:p>
    <w:p w14:paraId="4343EEFD" w14:textId="77777777" w:rsidR="00FA0479" w:rsidRDefault="00FA0479" w:rsidP="00FA0479">
      <w:pPr>
        <w:pStyle w:val="Prrafodelista"/>
        <w:numPr>
          <w:ilvl w:val="0"/>
          <w:numId w:val="5"/>
        </w:numPr>
        <w:spacing w:after="0" w:line="240" w:lineRule="auto"/>
        <w:ind w:left="357" w:hanging="357"/>
        <w:jc w:val="both"/>
        <w:rPr>
          <w:rFonts w:ascii="Work Sans" w:hAnsi="Work Sans" w:cs="Arial"/>
          <w:bCs/>
          <w:sz w:val="24"/>
          <w:szCs w:val="24"/>
        </w:rPr>
      </w:pPr>
      <w:r w:rsidRPr="00C8782E">
        <w:rPr>
          <w:rFonts w:ascii="Work Sans" w:hAnsi="Work Sans" w:cs="Arial"/>
          <w:sz w:val="24"/>
          <w:szCs w:val="24"/>
        </w:rPr>
        <w:t>El Ministerio de Minas y Energía, en el ejercicio de sus funciones, realizó los cálculos correspondientes con base en la información recibida y los porcentajes máximos de aplicación de subsidios y contribuciones en el mercado atendido, de acuerdo con la Ley 1428 de 2010, y las Resoluciones CREG 186</w:t>
      </w:r>
      <w:r w:rsidRPr="00C8782E">
        <w:rPr>
          <w:rFonts w:ascii="Work Sans" w:hAnsi="Work Sans" w:cs="Arial"/>
          <w:bCs/>
          <w:sz w:val="24"/>
          <w:szCs w:val="24"/>
        </w:rPr>
        <w:t xml:space="preserve"> de 2010, 186 de 2013, 186 de 2014, 241 de 2015, 152 de 2018, 198 de 2019, 104 de 2020, 003 de 2021, 214 de 2021, 101 027 de 2022, 101 031 de 2022</w:t>
      </w:r>
      <w:r w:rsidRPr="00C8782E">
        <w:rPr>
          <w:rFonts w:ascii="Work Sans" w:hAnsi="Work Sans"/>
          <w:sz w:val="24"/>
          <w:szCs w:val="24"/>
        </w:rPr>
        <w:t>,</w:t>
      </w:r>
      <w:r w:rsidRPr="00C8782E">
        <w:rPr>
          <w:rFonts w:ascii="Work Sans" w:hAnsi="Work Sans" w:cs="Arial"/>
          <w:bCs/>
          <w:sz w:val="24"/>
          <w:szCs w:val="24"/>
        </w:rPr>
        <w:t xml:space="preserve"> 105 005 de 2022 y 105 006 de 2023.</w:t>
      </w:r>
    </w:p>
    <w:p w14:paraId="5C7E70AC" w14:textId="77777777" w:rsidR="00013E62" w:rsidRPr="00013E62" w:rsidRDefault="00013E62" w:rsidP="00013E62">
      <w:pPr>
        <w:pStyle w:val="Prrafodelista"/>
        <w:rPr>
          <w:rFonts w:ascii="Work Sans" w:hAnsi="Work Sans" w:cs="Arial"/>
          <w:bCs/>
          <w:sz w:val="24"/>
          <w:szCs w:val="24"/>
        </w:rPr>
      </w:pPr>
    </w:p>
    <w:p w14:paraId="20342944" w14:textId="1A4AEE33" w:rsidR="00FA0479" w:rsidRDefault="00013E62" w:rsidP="00013E62">
      <w:pPr>
        <w:pStyle w:val="Prrafodelista"/>
        <w:numPr>
          <w:ilvl w:val="0"/>
          <w:numId w:val="5"/>
        </w:numPr>
        <w:spacing w:after="0" w:line="240" w:lineRule="auto"/>
        <w:ind w:left="357" w:hanging="357"/>
        <w:jc w:val="both"/>
        <w:rPr>
          <w:rFonts w:ascii="Work Sans" w:hAnsi="Work Sans" w:cs="Arial"/>
          <w:bCs/>
          <w:sz w:val="24"/>
          <w:szCs w:val="24"/>
        </w:rPr>
      </w:pPr>
      <w:r w:rsidRPr="00013E62">
        <w:rPr>
          <w:rFonts w:ascii="Work Sans" w:hAnsi="Work Sans" w:cs="Arial"/>
          <w:bCs/>
          <w:sz w:val="24"/>
          <w:szCs w:val="24"/>
        </w:rPr>
        <w:lastRenderedPageBreak/>
        <w:t xml:space="preserve">Para la información reportada en la conciliación trimestral de subsidios y contribuciones del </w:t>
      </w:r>
      <w:r w:rsidR="0070144D">
        <w:rPr>
          <w:rFonts w:ascii="Work Sans" w:hAnsi="Work Sans" w:cs="Arial"/>
          <w:bCs/>
          <w:sz w:val="24"/>
          <w:szCs w:val="24"/>
        </w:rPr>
        <w:t>primer trimestre de 2026</w:t>
      </w:r>
      <w:r w:rsidRPr="00013E62">
        <w:rPr>
          <w:rFonts w:ascii="Work Sans" w:hAnsi="Work Sans" w:cs="Arial"/>
          <w:bCs/>
          <w:sz w:val="24"/>
          <w:szCs w:val="24"/>
        </w:rPr>
        <w:t>, e</w:t>
      </w:r>
      <w:r w:rsidR="00E57956" w:rsidRPr="00E57956">
        <w:rPr>
          <w:rFonts w:ascii="Work Sans" w:hAnsi="Work Sans" w:cs="Arial"/>
          <w:bCs/>
          <w:sz w:val="24"/>
          <w:szCs w:val="24"/>
        </w:rPr>
        <w:t>ste Ministerio solicitó a FRANCA ENERGÍA, mediante correo electrónico del 22 de abril de 2026, realizar las aclaraciones y/o correcciones correspondientes, toda vez que la información reportada en el formato de giros efectuados no era consistente con la registrada en el Formato 1.</w:t>
      </w:r>
    </w:p>
    <w:p w14:paraId="2E601F97" w14:textId="77777777" w:rsidR="006A1537" w:rsidRPr="006A1537" w:rsidRDefault="006A1537" w:rsidP="006A1537">
      <w:pPr>
        <w:pStyle w:val="Prrafodelista"/>
        <w:rPr>
          <w:rFonts w:ascii="Work Sans" w:hAnsi="Work Sans" w:cs="Arial"/>
          <w:bCs/>
          <w:sz w:val="24"/>
          <w:szCs w:val="24"/>
        </w:rPr>
      </w:pPr>
    </w:p>
    <w:p w14:paraId="49DFEBA6" w14:textId="30ADF1F9" w:rsidR="006A1537" w:rsidRPr="00013E62" w:rsidRDefault="002C5B49" w:rsidP="00013E62">
      <w:pPr>
        <w:pStyle w:val="Prrafodelista"/>
        <w:numPr>
          <w:ilvl w:val="0"/>
          <w:numId w:val="5"/>
        </w:numPr>
        <w:spacing w:after="0" w:line="240" w:lineRule="auto"/>
        <w:ind w:left="357" w:hanging="357"/>
        <w:jc w:val="both"/>
        <w:rPr>
          <w:rFonts w:ascii="Work Sans" w:hAnsi="Work Sans" w:cs="Arial"/>
          <w:bCs/>
          <w:sz w:val="24"/>
          <w:szCs w:val="24"/>
        </w:rPr>
      </w:pPr>
      <w:r w:rsidRPr="002C5B49">
        <w:rPr>
          <w:rFonts w:ascii="Work Sans" w:hAnsi="Work Sans" w:cs="Arial"/>
          <w:bCs/>
          <w:sz w:val="24"/>
          <w:szCs w:val="24"/>
        </w:rPr>
        <w:t>En atención a lo anterior, FRANCA ENERGÍA remitió los ajustes a la conciliación mediante correo electrónico del 22 de abril de 2026, los cuales fueron posteriormente radicados ante esta entidad mediante el radicado No. 1-2026-029639 del 24 de abril de 2026. Se precisa que la diferencia entre ambas fechas obedece a que la empresa inicialmente remitió la información por un correo distinto al canal oficial de radicación del Ministerio.</w:t>
      </w:r>
    </w:p>
    <w:p w14:paraId="653F1F25" w14:textId="77777777" w:rsidR="00013E62" w:rsidRPr="00FE5ACE" w:rsidRDefault="00013E62" w:rsidP="00FA0479">
      <w:pPr>
        <w:spacing w:after="0" w:line="240" w:lineRule="auto"/>
        <w:jc w:val="both"/>
        <w:rPr>
          <w:rFonts w:ascii="Work Sans" w:hAnsi="Work Sans" w:cs="Arial"/>
          <w:bCs/>
          <w:sz w:val="24"/>
          <w:szCs w:val="24"/>
        </w:rPr>
      </w:pPr>
    </w:p>
    <w:p w14:paraId="0C1FE8E1" w14:textId="77777777" w:rsidR="00FA0479" w:rsidRPr="00C8782E" w:rsidRDefault="00FA0479" w:rsidP="00FA0479">
      <w:pPr>
        <w:pStyle w:val="Prrafodelista"/>
        <w:numPr>
          <w:ilvl w:val="0"/>
          <w:numId w:val="5"/>
        </w:numPr>
        <w:spacing w:after="0" w:line="240" w:lineRule="auto"/>
        <w:ind w:left="357" w:hanging="357"/>
        <w:jc w:val="both"/>
        <w:rPr>
          <w:rFonts w:ascii="Work Sans" w:hAnsi="Work Sans" w:cs="Arial"/>
          <w:bCs/>
          <w:sz w:val="24"/>
          <w:szCs w:val="24"/>
        </w:rPr>
      </w:pPr>
      <w:r w:rsidRPr="00C8782E">
        <w:rPr>
          <w:rFonts w:ascii="Work Sans" w:hAnsi="Work Sans" w:cs="Arial"/>
          <w:bCs/>
          <w:sz w:val="24"/>
          <w:szCs w:val="24"/>
        </w:rPr>
        <w:t xml:space="preserve">Después de comparar los valores proporcionados por </w:t>
      </w:r>
      <w:r>
        <w:rPr>
          <w:rFonts w:ascii="Work Sans" w:hAnsi="Work Sans" w:cs="Arial"/>
          <w:sz w:val="24"/>
          <w:szCs w:val="24"/>
        </w:rPr>
        <w:t>FRANCA ENERGÍA</w:t>
      </w:r>
      <w:r w:rsidRPr="00C8782E">
        <w:rPr>
          <w:rFonts w:ascii="Work Sans" w:hAnsi="Work Sans" w:cs="Arial"/>
          <w:sz w:val="24"/>
          <w:szCs w:val="24"/>
        </w:rPr>
        <w:t xml:space="preserve"> </w:t>
      </w:r>
      <w:r w:rsidRPr="00C8782E">
        <w:rPr>
          <w:rFonts w:ascii="Work Sans" w:hAnsi="Work Sans" w:cs="Arial"/>
          <w:bCs/>
          <w:sz w:val="24"/>
          <w:szCs w:val="24"/>
        </w:rPr>
        <w:t>con los valores calculados por el Ministerio de Minas y Energía a partir de la información soporte recibida, se obtuvieron los siguientes resultados:</w:t>
      </w:r>
    </w:p>
    <w:p w14:paraId="3F35A4AE" w14:textId="77777777" w:rsidR="00FA0479" w:rsidRDefault="00FA0479" w:rsidP="00FA0479">
      <w:pPr>
        <w:spacing w:after="0" w:line="240" w:lineRule="auto"/>
        <w:ind w:right="51"/>
        <w:jc w:val="both"/>
        <w:rPr>
          <w:rFonts w:ascii="Work Sans" w:hAnsi="Work Sans" w:cs="Arial"/>
          <w:sz w:val="24"/>
          <w:szCs w:val="24"/>
        </w:rPr>
      </w:pPr>
    </w:p>
    <w:tbl>
      <w:tblPr>
        <w:tblW w:w="0" w:type="auto"/>
        <w:jc w:val="right"/>
        <w:tblLayout w:type="fixed"/>
        <w:tblCellMar>
          <w:left w:w="70" w:type="dxa"/>
          <w:right w:w="70" w:type="dxa"/>
        </w:tblCellMar>
        <w:tblLook w:val="04A0" w:firstRow="1" w:lastRow="0" w:firstColumn="1" w:lastColumn="0" w:noHBand="0" w:noVBand="1"/>
      </w:tblPr>
      <w:tblGrid>
        <w:gridCol w:w="3261"/>
        <w:gridCol w:w="1985"/>
        <w:gridCol w:w="2126"/>
        <w:gridCol w:w="1582"/>
      </w:tblGrid>
      <w:tr w:rsidR="00FA0479" w:rsidRPr="00F41BFE" w14:paraId="3A928F13" w14:textId="77777777" w:rsidTr="00907044">
        <w:trPr>
          <w:cantSplit/>
          <w:trHeight w:val="20"/>
          <w:jc w:val="right"/>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FB6FBF" w14:textId="113B86D1" w:rsidR="00FA0479" w:rsidRPr="00F41BFE" w:rsidRDefault="0004104F" w:rsidP="00907044">
            <w:pPr>
              <w:suppressAutoHyphens w:val="0"/>
              <w:spacing w:after="0" w:line="240" w:lineRule="auto"/>
              <w:jc w:val="center"/>
              <w:rPr>
                <w:rFonts w:ascii="Work Sans" w:eastAsia="Times New Roman" w:hAnsi="Work Sans" w:cs="Calibri"/>
                <w:b/>
                <w:bCs/>
                <w:color w:val="000000"/>
                <w:lang w:eastAsia="es-CO"/>
              </w:rPr>
            </w:pPr>
            <w:r>
              <w:rPr>
                <w:rFonts w:ascii="Work Sans" w:eastAsia="Times New Roman" w:hAnsi="Work Sans" w:cs="Calibri"/>
                <w:b/>
                <w:bCs/>
                <w:color w:val="000000"/>
                <w:lang w:eastAsia="es-CO"/>
              </w:rPr>
              <w:t>Primer trimestre de 2026</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FA9F45" w14:textId="77777777" w:rsidR="00FA0479" w:rsidRPr="00F41BFE" w:rsidRDefault="00FA0479" w:rsidP="00907044">
            <w:pPr>
              <w:suppressAutoHyphens w:val="0"/>
              <w:spacing w:after="0" w:line="240" w:lineRule="auto"/>
              <w:jc w:val="right"/>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Valor Empresa</w:t>
            </w:r>
          </w:p>
        </w:tc>
        <w:tc>
          <w:tcPr>
            <w:tcW w:w="212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BCEC56" w14:textId="77777777" w:rsidR="00FA0479" w:rsidRPr="00F41BFE" w:rsidRDefault="00FA0479" w:rsidP="00907044">
            <w:pPr>
              <w:suppressAutoHyphens w:val="0"/>
              <w:spacing w:after="0" w:line="240" w:lineRule="auto"/>
              <w:jc w:val="center"/>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Valor MME-FSSRI</w:t>
            </w:r>
          </w:p>
        </w:tc>
        <w:tc>
          <w:tcPr>
            <w:tcW w:w="158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AC38A03" w14:textId="77777777" w:rsidR="00FA0479" w:rsidRPr="00F41BFE" w:rsidRDefault="00FA0479" w:rsidP="00907044">
            <w:pPr>
              <w:suppressAutoHyphens w:val="0"/>
              <w:spacing w:after="0" w:line="240" w:lineRule="auto"/>
              <w:jc w:val="center"/>
              <w:rPr>
                <w:rFonts w:ascii="Work Sans" w:eastAsia="Times New Roman" w:hAnsi="Work Sans" w:cs="Calibri"/>
                <w:b/>
                <w:bCs/>
                <w:color w:val="000000"/>
                <w:lang w:eastAsia="es-CO"/>
              </w:rPr>
            </w:pPr>
            <w:r w:rsidRPr="00F41BFE">
              <w:rPr>
                <w:rFonts w:ascii="Work Sans" w:eastAsia="Times New Roman" w:hAnsi="Work Sans" w:cs="Calibri"/>
                <w:b/>
                <w:bCs/>
                <w:color w:val="000000"/>
                <w:lang w:eastAsia="es-CO"/>
              </w:rPr>
              <w:t>Diferencia</w:t>
            </w:r>
          </w:p>
        </w:tc>
      </w:tr>
      <w:tr w:rsidR="0004104F" w:rsidRPr="00F41BFE" w14:paraId="47858E34" w14:textId="77777777" w:rsidTr="0004104F">
        <w:trPr>
          <w:cantSplit/>
          <w:trHeight w:val="20"/>
          <w:jc w:val="right"/>
        </w:trPr>
        <w:tc>
          <w:tcPr>
            <w:tcW w:w="3261" w:type="dxa"/>
            <w:tcBorders>
              <w:top w:val="nil"/>
              <w:left w:val="single" w:sz="4" w:space="0" w:color="auto"/>
              <w:bottom w:val="single" w:sz="4" w:space="0" w:color="auto"/>
              <w:right w:val="single" w:sz="4" w:space="0" w:color="auto"/>
            </w:tcBorders>
            <w:vAlign w:val="center"/>
            <w:hideMark/>
          </w:tcPr>
          <w:p w14:paraId="23879AA7" w14:textId="77777777" w:rsidR="0004104F" w:rsidRPr="00F41BFE" w:rsidRDefault="0004104F" w:rsidP="0004104F">
            <w:pPr>
              <w:suppressAutoHyphens w:val="0"/>
              <w:spacing w:after="0" w:line="240" w:lineRule="auto"/>
              <w:rPr>
                <w:rFonts w:ascii="Work Sans" w:eastAsia="Times New Roman" w:hAnsi="Work Sans" w:cs="Calibri"/>
                <w:color w:val="000000"/>
                <w:lang w:eastAsia="es-CO"/>
              </w:rPr>
            </w:pPr>
            <w:r w:rsidRPr="00F41BFE">
              <w:rPr>
                <w:rFonts w:ascii="Work Sans" w:eastAsia="Times New Roman" w:hAnsi="Work Sans" w:cs="Calibri"/>
                <w:color w:val="000000"/>
                <w:lang w:eastAsia="es-CO"/>
              </w:rPr>
              <w:t>Contribuciones facturadas</w:t>
            </w:r>
          </w:p>
        </w:tc>
        <w:tc>
          <w:tcPr>
            <w:tcW w:w="1985" w:type="dxa"/>
            <w:tcBorders>
              <w:top w:val="nil"/>
              <w:left w:val="nil"/>
              <w:bottom w:val="single" w:sz="4" w:space="0" w:color="auto"/>
              <w:right w:val="single" w:sz="4" w:space="0" w:color="auto"/>
            </w:tcBorders>
            <w:vAlign w:val="center"/>
          </w:tcPr>
          <w:p w14:paraId="2444CED6" w14:textId="435669B9" w:rsidR="0004104F" w:rsidRPr="0004104F" w:rsidRDefault="0004104F" w:rsidP="0004104F">
            <w:pPr>
              <w:suppressAutoHyphens w:val="0"/>
              <w:spacing w:after="0" w:line="240" w:lineRule="auto"/>
              <w:jc w:val="right"/>
              <w:rPr>
                <w:rFonts w:ascii="Work Sans" w:eastAsia="Times New Roman" w:hAnsi="Work Sans" w:cs="Calibri"/>
                <w:color w:val="000000"/>
                <w:lang w:eastAsia="es-CO"/>
              </w:rPr>
            </w:pPr>
            <w:r w:rsidRPr="0004104F">
              <w:rPr>
                <w:rFonts w:ascii="Work Sans" w:hAnsi="Work Sans" w:cs="Arial"/>
                <w:color w:val="000000"/>
              </w:rPr>
              <w:t>$650.408.402</w:t>
            </w:r>
          </w:p>
        </w:tc>
        <w:tc>
          <w:tcPr>
            <w:tcW w:w="2126" w:type="dxa"/>
            <w:tcBorders>
              <w:top w:val="nil"/>
              <w:left w:val="nil"/>
              <w:bottom w:val="single" w:sz="4" w:space="0" w:color="auto"/>
              <w:right w:val="single" w:sz="4" w:space="0" w:color="auto"/>
            </w:tcBorders>
            <w:vAlign w:val="center"/>
          </w:tcPr>
          <w:p w14:paraId="7EBFBD3B" w14:textId="6522BECA" w:rsidR="0004104F" w:rsidRPr="0004104F" w:rsidRDefault="0004104F" w:rsidP="0004104F">
            <w:pPr>
              <w:suppressAutoHyphens w:val="0"/>
              <w:spacing w:after="0" w:line="240" w:lineRule="auto"/>
              <w:jc w:val="right"/>
              <w:rPr>
                <w:rFonts w:ascii="Work Sans" w:eastAsia="Times New Roman" w:hAnsi="Work Sans" w:cs="Calibri"/>
                <w:color w:val="000000"/>
                <w:lang w:eastAsia="es-CO"/>
              </w:rPr>
            </w:pPr>
            <w:r w:rsidRPr="0004104F">
              <w:rPr>
                <w:rFonts w:ascii="Work Sans" w:hAnsi="Work Sans" w:cs="Arial"/>
                <w:color w:val="000000"/>
              </w:rPr>
              <w:t>$650.408.402</w:t>
            </w:r>
          </w:p>
        </w:tc>
        <w:tc>
          <w:tcPr>
            <w:tcW w:w="1582" w:type="dxa"/>
            <w:tcBorders>
              <w:top w:val="nil"/>
              <w:left w:val="nil"/>
              <w:bottom w:val="single" w:sz="4" w:space="0" w:color="auto"/>
              <w:right w:val="single" w:sz="4" w:space="0" w:color="auto"/>
            </w:tcBorders>
            <w:vAlign w:val="center"/>
          </w:tcPr>
          <w:p w14:paraId="1CCB8A4E" w14:textId="77777777" w:rsidR="0004104F" w:rsidRPr="00010180" w:rsidRDefault="0004104F" w:rsidP="0004104F">
            <w:pPr>
              <w:suppressAutoHyphens w:val="0"/>
              <w:spacing w:after="0" w:line="240" w:lineRule="auto"/>
              <w:jc w:val="right"/>
              <w:rPr>
                <w:rFonts w:ascii="Work Sans" w:eastAsia="Times New Roman" w:hAnsi="Work Sans" w:cs="Calibri"/>
                <w:color w:val="000000"/>
                <w:lang w:eastAsia="es-CO"/>
              </w:rPr>
            </w:pPr>
            <w:r w:rsidRPr="00010180">
              <w:rPr>
                <w:rFonts w:ascii="Work Sans" w:hAnsi="Work Sans" w:cs="Arial"/>
                <w:color w:val="000000"/>
              </w:rPr>
              <w:t>$0</w:t>
            </w:r>
          </w:p>
        </w:tc>
      </w:tr>
      <w:tr w:rsidR="0004104F" w:rsidRPr="00F41BFE" w14:paraId="125ADC17" w14:textId="77777777" w:rsidTr="0004104F">
        <w:trPr>
          <w:cantSplit/>
          <w:trHeight w:val="60"/>
          <w:jc w:val="right"/>
        </w:trPr>
        <w:tc>
          <w:tcPr>
            <w:tcW w:w="3261" w:type="dxa"/>
            <w:tcBorders>
              <w:top w:val="nil"/>
              <w:left w:val="single" w:sz="4" w:space="0" w:color="auto"/>
              <w:bottom w:val="single" w:sz="4" w:space="0" w:color="auto"/>
              <w:right w:val="single" w:sz="4" w:space="0" w:color="auto"/>
            </w:tcBorders>
            <w:vAlign w:val="center"/>
            <w:hideMark/>
          </w:tcPr>
          <w:p w14:paraId="69AD3FBF" w14:textId="77777777" w:rsidR="0004104F" w:rsidRPr="00F41BFE" w:rsidRDefault="0004104F" w:rsidP="0004104F">
            <w:pPr>
              <w:spacing w:after="0" w:line="240" w:lineRule="auto"/>
              <w:rPr>
                <w:rFonts w:ascii="Work Sans" w:eastAsia="Times New Roman" w:hAnsi="Work Sans" w:cs="Calibri"/>
                <w:color w:val="000000"/>
                <w:lang w:eastAsia="es-CO"/>
              </w:rPr>
            </w:pPr>
            <w:r w:rsidRPr="00F41BFE">
              <w:rPr>
                <w:rFonts w:ascii="Work Sans" w:eastAsia="Times New Roman" w:hAnsi="Work Sans" w:cs="Calibri"/>
                <w:color w:val="000000"/>
                <w:lang w:eastAsia="es-CO"/>
              </w:rPr>
              <w:t>Giros efectuados a otros comercializadores</w:t>
            </w:r>
          </w:p>
        </w:tc>
        <w:tc>
          <w:tcPr>
            <w:tcW w:w="1985" w:type="dxa"/>
            <w:tcBorders>
              <w:top w:val="nil"/>
              <w:left w:val="nil"/>
              <w:bottom w:val="single" w:sz="4" w:space="0" w:color="auto"/>
              <w:right w:val="single" w:sz="4" w:space="0" w:color="auto"/>
            </w:tcBorders>
            <w:vAlign w:val="center"/>
          </w:tcPr>
          <w:p w14:paraId="367380F1" w14:textId="7DAF261F" w:rsidR="0004104F" w:rsidRPr="0004104F" w:rsidRDefault="0004104F" w:rsidP="0004104F">
            <w:pPr>
              <w:suppressAutoHyphens w:val="0"/>
              <w:spacing w:after="0" w:line="240" w:lineRule="auto"/>
              <w:jc w:val="right"/>
              <w:rPr>
                <w:rFonts w:ascii="Work Sans" w:eastAsia="Times New Roman" w:hAnsi="Work Sans" w:cs="Calibri"/>
                <w:color w:val="000000"/>
                <w:lang w:eastAsia="es-CO"/>
              </w:rPr>
            </w:pPr>
            <w:r w:rsidRPr="0004104F">
              <w:rPr>
                <w:rFonts w:ascii="Work Sans" w:hAnsi="Work Sans" w:cs="Arial"/>
                <w:color w:val="000000"/>
              </w:rPr>
              <w:t>-$650.408.402</w:t>
            </w:r>
          </w:p>
        </w:tc>
        <w:tc>
          <w:tcPr>
            <w:tcW w:w="2126" w:type="dxa"/>
            <w:tcBorders>
              <w:top w:val="nil"/>
              <w:left w:val="nil"/>
              <w:bottom w:val="single" w:sz="4" w:space="0" w:color="auto"/>
              <w:right w:val="single" w:sz="4" w:space="0" w:color="auto"/>
            </w:tcBorders>
            <w:vAlign w:val="center"/>
          </w:tcPr>
          <w:p w14:paraId="08266F60" w14:textId="00FE2A65" w:rsidR="0004104F" w:rsidRPr="0004104F" w:rsidRDefault="0004104F" w:rsidP="0004104F">
            <w:pPr>
              <w:suppressAutoHyphens w:val="0"/>
              <w:spacing w:after="0" w:line="240" w:lineRule="auto"/>
              <w:jc w:val="right"/>
              <w:rPr>
                <w:rFonts w:ascii="Work Sans" w:eastAsia="Times New Roman" w:hAnsi="Work Sans" w:cs="Calibri"/>
                <w:color w:val="000000"/>
                <w:lang w:eastAsia="es-CO"/>
              </w:rPr>
            </w:pPr>
            <w:r w:rsidRPr="0004104F">
              <w:rPr>
                <w:rFonts w:ascii="Work Sans" w:hAnsi="Work Sans" w:cs="Arial"/>
                <w:color w:val="000000"/>
              </w:rPr>
              <w:t>-$650.408.402</w:t>
            </w:r>
          </w:p>
        </w:tc>
        <w:tc>
          <w:tcPr>
            <w:tcW w:w="1582" w:type="dxa"/>
            <w:tcBorders>
              <w:top w:val="nil"/>
              <w:left w:val="nil"/>
              <w:bottom w:val="single" w:sz="4" w:space="0" w:color="auto"/>
              <w:right w:val="single" w:sz="4" w:space="0" w:color="auto"/>
            </w:tcBorders>
            <w:vAlign w:val="center"/>
          </w:tcPr>
          <w:p w14:paraId="458B76D6" w14:textId="77777777" w:rsidR="0004104F" w:rsidRPr="00010180" w:rsidRDefault="0004104F" w:rsidP="0004104F">
            <w:pPr>
              <w:suppressAutoHyphens w:val="0"/>
              <w:spacing w:after="0" w:line="240" w:lineRule="auto"/>
              <w:jc w:val="right"/>
              <w:rPr>
                <w:rFonts w:ascii="Work Sans" w:eastAsia="Times New Roman" w:hAnsi="Work Sans" w:cs="Calibri"/>
                <w:color w:val="000000"/>
                <w:lang w:eastAsia="es-CO"/>
              </w:rPr>
            </w:pPr>
            <w:r w:rsidRPr="00010180">
              <w:rPr>
                <w:rFonts w:ascii="Work Sans" w:hAnsi="Work Sans" w:cs="Arial"/>
                <w:color w:val="000000"/>
              </w:rPr>
              <w:t>$0</w:t>
            </w:r>
          </w:p>
        </w:tc>
      </w:tr>
      <w:tr w:rsidR="00FA0479" w:rsidRPr="00F41BFE" w14:paraId="3A656DC8" w14:textId="77777777" w:rsidTr="00907044">
        <w:trPr>
          <w:cantSplit/>
          <w:trHeight w:val="60"/>
          <w:jc w:val="right"/>
        </w:trPr>
        <w:tc>
          <w:tcPr>
            <w:tcW w:w="3261"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2BA2ADB" w14:textId="77777777" w:rsidR="00FA0479" w:rsidRPr="00EE61A7" w:rsidRDefault="00FA0479" w:rsidP="00907044">
            <w:pPr>
              <w:suppressAutoHyphens w:val="0"/>
              <w:spacing w:after="0" w:line="240" w:lineRule="auto"/>
              <w:jc w:val="center"/>
              <w:rPr>
                <w:rFonts w:ascii="Work Sans" w:eastAsia="Times New Roman" w:hAnsi="Work Sans" w:cs="Calibri"/>
                <w:b/>
                <w:bCs/>
                <w:color w:val="000000"/>
                <w:lang w:eastAsia="es-CO"/>
              </w:rPr>
            </w:pPr>
            <w:r w:rsidRPr="00EE61A7">
              <w:rPr>
                <w:rFonts w:ascii="Work Sans" w:eastAsia="Times New Roman" w:hAnsi="Work Sans" w:cs="Calibri"/>
                <w:b/>
                <w:bCs/>
                <w:color w:val="000000"/>
                <w:lang w:eastAsia="es-CO"/>
              </w:rPr>
              <w:t>Total</w:t>
            </w:r>
          </w:p>
        </w:tc>
        <w:tc>
          <w:tcPr>
            <w:tcW w:w="1985" w:type="dxa"/>
            <w:tcBorders>
              <w:top w:val="nil"/>
              <w:left w:val="nil"/>
              <w:bottom w:val="single" w:sz="4" w:space="0" w:color="auto"/>
              <w:right w:val="single" w:sz="4" w:space="0" w:color="auto"/>
            </w:tcBorders>
            <w:shd w:val="clear" w:color="auto" w:fill="D9D9D9" w:themeFill="background1" w:themeFillShade="D9"/>
            <w:vAlign w:val="center"/>
          </w:tcPr>
          <w:p w14:paraId="7B0AFEDA" w14:textId="77777777" w:rsidR="00FA0479" w:rsidRPr="00010180" w:rsidRDefault="00FA0479" w:rsidP="00907044">
            <w:pPr>
              <w:suppressAutoHyphens w:val="0"/>
              <w:spacing w:after="0" w:line="240" w:lineRule="auto"/>
              <w:jc w:val="right"/>
              <w:rPr>
                <w:rFonts w:ascii="Work Sans" w:eastAsia="Times New Roman" w:hAnsi="Work Sans" w:cs="Calibri"/>
                <w:b/>
                <w:bCs/>
                <w:color w:val="000000"/>
                <w:lang w:eastAsia="es-CO"/>
              </w:rPr>
            </w:pPr>
            <w:r w:rsidRPr="00010180">
              <w:rPr>
                <w:rFonts w:ascii="Work Sans" w:hAnsi="Work Sans" w:cs="Arial"/>
                <w:b/>
                <w:bCs/>
                <w:color w:val="000000"/>
              </w:rPr>
              <w:t>$0</w:t>
            </w:r>
          </w:p>
        </w:tc>
        <w:tc>
          <w:tcPr>
            <w:tcW w:w="2126" w:type="dxa"/>
            <w:tcBorders>
              <w:top w:val="nil"/>
              <w:left w:val="nil"/>
              <w:bottom w:val="single" w:sz="4" w:space="0" w:color="auto"/>
              <w:right w:val="single" w:sz="4" w:space="0" w:color="auto"/>
            </w:tcBorders>
            <w:shd w:val="clear" w:color="auto" w:fill="D9D9D9" w:themeFill="background1" w:themeFillShade="D9"/>
            <w:vAlign w:val="center"/>
          </w:tcPr>
          <w:p w14:paraId="6FDFF597" w14:textId="77777777" w:rsidR="00FA0479" w:rsidRPr="00010180" w:rsidRDefault="00FA0479" w:rsidP="00907044">
            <w:pPr>
              <w:suppressAutoHyphens w:val="0"/>
              <w:spacing w:after="0" w:line="240" w:lineRule="auto"/>
              <w:jc w:val="right"/>
              <w:rPr>
                <w:rFonts w:ascii="Work Sans" w:eastAsia="Times New Roman" w:hAnsi="Work Sans" w:cs="Calibri"/>
                <w:b/>
                <w:bCs/>
                <w:color w:val="000000"/>
                <w:lang w:eastAsia="es-CO"/>
              </w:rPr>
            </w:pPr>
            <w:r w:rsidRPr="00010180">
              <w:rPr>
                <w:rFonts w:ascii="Work Sans" w:hAnsi="Work Sans" w:cs="Arial"/>
                <w:b/>
                <w:bCs/>
                <w:color w:val="000000"/>
              </w:rPr>
              <w:t>$0</w:t>
            </w:r>
          </w:p>
        </w:tc>
        <w:tc>
          <w:tcPr>
            <w:tcW w:w="1582" w:type="dxa"/>
            <w:tcBorders>
              <w:top w:val="nil"/>
              <w:left w:val="nil"/>
              <w:bottom w:val="single" w:sz="4" w:space="0" w:color="auto"/>
              <w:right w:val="single" w:sz="4" w:space="0" w:color="auto"/>
            </w:tcBorders>
            <w:shd w:val="clear" w:color="auto" w:fill="D9D9D9" w:themeFill="background1" w:themeFillShade="D9"/>
            <w:vAlign w:val="center"/>
          </w:tcPr>
          <w:p w14:paraId="7DDDA08E" w14:textId="77777777" w:rsidR="00FA0479" w:rsidRPr="00010180" w:rsidRDefault="00FA0479" w:rsidP="00907044">
            <w:pPr>
              <w:suppressAutoHyphens w:val="0"/>
              <w:spacing w:after="0" w:line="240" w:lineRule="auto"/>
              <w:jc w:val="right"/>
              <w:rPr>
                <w:rFonts w:ascii="Work Sans" w:eastAsia="Times New Roman" w:hAnsi="Work Sans" w:cs="Calibri"/>
                <w:b/>
                <w:bCs/>
                <w:color w:val="000000"/>
                <w:lang w:eastAsia="es-CO"/>
              </w:rPr>
            </w:pPr>
            <w:r w:rsidRPr="00010180">
              <w:rPr>
                <w:rFonts w:ascii="Work Sans" w:hAnsi="Work Sans" w:cs="Arial"/>
                <w:b/>
                <w:bCs/>
                <w:color w:val="000000"/>
              </w:rPr>
              <w:t>$0</w:t>
            </w:r>
          </w:p>
        </w:tc>
      </w:tr>
      <w:bookmarkEnd w:id="0"/>
      <w:bookmarkEnd w:id="1"/>
      <w:bookmarkEnd w:id="2"/>
    </w:tbl>
    <w:p w14:paraId="603177C8" w14:textId="77777777" w:rsidR="00FA0479" w:rsidRDefault="00FA0479" w:rsidP="00FA0479">
      <w:pPr>
        <w:spacing w:after="0" w:line="240" w:lineRule="auto"/>
        <w:ind w:right="51"/>
        <w:contextualSpacing/>
        <w:jc w:val="both"/>
        <w:rPr>
          <w:rFonts w:ascii="Work Sans" w:hAnsi="Work Sans" w:cs="Arial"/>
          <w:sz w:val="24"/>
        </w:rPr>
      </w:pPr>
    </w:p>
    <w:p w14:paraId="64CD2399" w14:textId="0628F18F" w:rsidR="00FA0479" w:rsidRPr="00EB1313" w:rsidRDefault="00FA0479" w:rsidP="00FA0479">
      <w:pPr>
        <w:spacing w:after="0" w:line="240" w:lineRule="auto"/>
        <w:jc w:val="both"/>
        <w:rPr>
          <w:rFonts w:ascii="Work Sans" w:hAnsi="Work Sans" w:cs="Arial"/>
          <w:sz w:val="24"/>
        </w:rPr>
      </w:pPr>
      <w:r w:rsidRPr="00053618">
        <w:rPr>
          <w:rFonts w:ascii="Work Sans" w:hAnsi="Work Sans" w:cs="Arial"/>
          <w:sz w:val="24"/>
        </w:rPr>
        <w:t>Ahora bien, teniendo en cuenta los valores de capital</w:t>
      </w:r>
      <w:r>
        <w:rPr>
          <w:rFonts w:ascii="Work Sans" w:hAnsi="Work Sans" w:cs="Arial"/>
          <w:sz w:val="24"/>
        </w:rPr>
        <w:t xml:space="preserve"> </w:t>
      </w:r>
      <w:r w:rsidRPr="00053618">
        <w:rPr>
          <w:rFonts w:ascii="Work Sans" w:hAnsi="Work Sans" w:cs="Arial"/>
          <w:sz w:val="24"/>
        </w:rPr>
        <w:t xml:space="preserve">e intereses moratorios pendientes de pago con corte al </w:t>
      </w:r>
      <w:r>
        <w:rPr>
          <w:rFonts w:ascii="Work Sans" w:hAnsi="Work Sans" w:cs="Arial"/>
          <w:sz w:val="24"/>
        </w:rPr>
        <w:t>último trimestre validado</w:t>
      </w:r>
      <w:r w:rsidRPr="00053618">
        <w:rPr>
          <w:rFonts w:ascii="Work Sans" w:hAnsi="Work Sans" w:cs="Arial"/>
          <w:sz w:val="24"/>
        </w:rPr>
        <w:t xml:space="preserve"> y los valores de</w:t>
      </w:r>
      <w:r>
        <w:rPr>
          <w:rFonts w:ascii="Work Sans" w:hAnsi="Work Sans" w:cs="Arial"/>
          <w:sz w:val="24"/>
        </w:rPr>
        <w:t xml:space="preserve"> </w:t>
      </w:r>
      <w:r w:rsidRPr="00053618">
        <w:rPr>
          <w:rFonts w:ascii="Work Sans" w:hAnsi="Work Sans" w:cs="Arial"/>
          <w:sz w:val="24"/>
        </w:rPr>
        <w:t xml:space="preserve">contribuciones y giros efectuados durante </w:t>
      </w:r>
      <w:r>
        <w:rPr>
          <w:rFonts w:ascii="Work Sans" w:hAnsi="Work Sans" w:cs="Arial"/>
          <w:sz w:val="24"/>
        </w:rPr>
        <w:t>los trimestres</w:t>
      </w:r>
      <w:r w:rsidRPr="00053618">
        <w:rPr>
          <w:rFonts w:ascii="Work Sans" w:hAnsi="Work Sans" w:cs="Arial"/>
          <w:sz w:val="24"/>
        </w:rPr>
        <w:t xml:space="preserve"> objeto de validación, se tiene que </w:t>
      </w:r>
      <w:r>
        <w:rPr>
          <w:rFonts w:ascii="Work Sans" w:hAnsi="Work Sans" w:cs="Arial"/>
          <w:sz w:val="24"/>
        </w:rPr>
        <w:t>FRANCA ENERGÍA</w:t>
      </w:r>
      <w:r w:rsidRPr="00053618">
        <w:rPr>
          <w:rFonts w:ascii="Work Sans" w:hAnsi="Work Sans" w:cs="Arial"/>
          <w:sz w:val="24"/>
        </w:rPr>
        <w:t xml:space="preserve"> </w:t>
      </w:r>
      <w:r>
        <w:rPr>
          <w:rFonts w:ascii="Work Sans" w:hAnsi="Work Sans" w:cs="Arial"/>
          <w:sz w:val="24"/>
        </w:rPr>
        <w:t xml:space="preserve">registra un </w:t>
      </w:r>
      <w:r w:rsidRPr="0067593C">
        <w:rPr>
          <w:rFonts w:ascii="Work Sans" w:hAnsi="Work Sans" w:cs="Arial"/>
          <w:sz w:val="24"/>
        </w:rPr>
        <w:t>pendiente de giro al FSSRI</w:t>
      </w:r>
      <w:r>
        <w:rPr>
          <w:rStyle w:val="Refdenotaalpie"/>
          <w:rFonts w:ascii="Work Sans" w:hAnsi="Work Sans" w:cs="Arial"/>
          <w:sz w:val="24"/>
        </w:rPr>
        <w:footnoteReference w:id="1"/>
      </w:r>
      <w:r w:rsidRPr="00053618">
        <w:rPr>
          <w:rFonts w:ascii="Work Sans" w:hAnsi="Work Sans" w:cs="Arial"/>
          <w:sz w:val="24"/>
        </w:rPr>
        <w:t xml:space="preserve">, con corte al cierre del </w:t>
      </w:r>
      <w:r w:rsidR="000F55FF">
        <w:rPr>
          <w:rFonts w:ascii="Work Sans" w:hAnsi="Work Sans" w:cs="Arial"/>
          <w:sz w:val="24"/>
          <w:szCs w:val="24"/>
        </w:rPr>
        <w:t>primer</w:t>
      </w:r>
      <w:r>
        <w:rPr>
          <w:rFonts w:ascii="Work Sans" w:hAnsi="Work Sans" w:cs="Arial"/>
          <w:sz w:val="24"/>
          <w:szCs w:val="24"/>
        </w:rPr>
        <w:t xml:space="preserve"> trimestre de 202</w:t>
      </w:r>
      <w:r w:rsidR="000F55FF">
        <w:rPr>
          <w:rFonts w:ascii="Work Sans" w:hAnsi="Work Sans" w:cs="Arial"/>
          <w:sz w:val="24"/>
          <w:szCs w:val="24"/>
        </w:rPr>
        <w:t>6</w:t>
      </w:r>
      <w:r w:rsidRPr="00053618">
        <w:rPr>
          <w:rFonts w:ascii="Work Sans" w:hAnsi="Work Sans" w:cs="Arial"/>
          <w:sz w:val="24"/>
          <w:szCs w:val="24"/>
        </w:rPr>
        <w:t>,</w:t>
      </w:r>
      <w:r w:rsidRPr="00053618">
        <w:rPr>
          <w:rFonts w:ascii="Work Sans" w:hAnsi="Work Sans" w:cs="Arial"/>
          <w:sz w:val="24"/>
        </w:rPr>
        <w:t xml:space="preserve"> </w:t>
      </w:r>
      <w:r>
        <w:rPr>
          <w:rFonts w:ascii="Work Sans" w:hAnsi="Work Sans" w:cs="Arial"/>
          <w:sz w:val="24"/>
        </w:rPr>
        <w:t xml:space="preserve">por valor </w:t>
      </w:r>
      <w:r w:rsidRPr="00053618">
        <w:rPr>
          <w:rFonts w:ascii="Work Sans" w:hAnsi="Work Sans" w:cs="Arial"/>
          <w:sz w:val="24"/>
        </w:rPr>
        <w:t xml:space="preserve">de </w:t>
      </w:r>
      <w:r w:rsidR="004A61EA">
        <w:rPr>
          <w:rFonts w:ascii="Work Sans" w:hAnsi="Work Sans" w:cs="Arial"/>
          <w:b/>
          <w:bCs/>
          <w:sz w:val="24"/>
        </w:rPr>
        <w:t>SIETE</w:t>
      </w:r>
      <w:r w:rsidRPr="005A665D">
        <w:rPr>
          <w:rFonts w:ascii="Work Sans" w:hAnsi="Work Sans" w:cs="Arial"/>
          <w:b/>
          <w:bCs/>
          <w:sz w:val="24"/>
        </w:rPr>
        <w:t xml:space="preserve"> PESOS</w:t>
      </w:r>
      <w:r>
        <w:rPr>
          <w:rFonts w:ascii="Work Sans" w:hAnsi="Work Sans" w:cs="Arial"/>
          <w:b/>
          <w:bCs/>
          <w:sz w:val="24"/>
        </w:rPr>
        <w:t xml:space="preserve"> </w:t>
      </w:r>
      <w:r w:rsidRPr="005A665D">
        <w:rPr>
          <w:rFonts w:ascii="Work Sans" w:hAnsi="Work Sans" w:cs="Arial"/>
          <w:b/>
          <w:bCs/>
          <w:sz w:val="24"/>
        </w:rPr>
        <w:t>M/CTE ($</w:t>
      </w:r>
      <w:r w:rsidR="004A61EA">
        <w:rPr>
          <w:rFonts w:ascii="Work Sans" w:hAnsi="Work Sans" w:cs="Arial"/>
          <w:b/>
          <w:bCs/>
          <w:sz w:val="24"/>
        </w:rPr>
        <w:t>7</w:t>
      </w:r>
      <w:r w:rsidRPr="005A665D">
        <w:rPr>
          <w:rFonts w:ascii="Work Sans" w:hAnsi="Work Sans" w:cs="Arial"/>
          <w:b/>
          <w:bCs/>
          <w:sz w:val="24"/>
        </w:rPr>
        <w:t>)</w:t>
      </w:r>
      <w:r w:rsidRPr="005A665D">
        <w:rPr>
          <w:rFonts w:ascii="Work Sans" w:hAnsi="Work Sans" w:cs="Arial"/>
          <w:sz w:val="24"/>
        </w:rPr>
        <w:t>,</w:t>
      </w:r>
      <w:r w:rsidRPr="00053618">
        <w:rPr>
          <w:rFonts w:ascii="Work Sans" w:hAnsi="Work Sans" w:cs="Arial"/>
          <w:b/>
          <w:bCs/>
          <w:sz w:val="24"/>
        </w:rPr>
        <w:t xml:space="preserve"> </w:t>
      </w:r>
      <w:r>
        <w:rPr>
          <w:rFonts w:ascii="Work Sans" w:hAnsi="Work Sans" w:cs="Arial"/>
          <w:sz w:val="24"/>
        </w:rPr>
        <w:t>el</w:t>
      </w:r>
      <w:r w:rsidRPr="00053618">
        <w:rPr>
          <w:rFonts w:ascii="Work Sans" w:hAnsi="Work Sans" w:cs="Arial"/>
          <w:sz w:val="24"/>
        </w:rPr>
        <w:t xml:space="preserve"> cual se desagrega por mercado de comercialización donde la empresa atiende usuarios, así:</w:t>
      </w:r>
    </w:p>
    <w:p w14:paraId="2CDB8CA9" w14:textId="77777777" w:rsidR="00FA0479" w:rsidRDefault="00FA0479" w:rsidP="00FA0479">
      <w:pPr>
        <w:spacing w:after="0" w:line="240" w:lineRule="auto"/>
        <w:ind w:right="51"/>
        <w:contextualSpacing/>
        <w:jc w:val="both"/>
        <w:rPr>
          <w:rFonts w:ascii="Work Sans" w:hAnsi="Work Sans" w:cs="Arial"/>
          <w:sz w:val="24"/>
        </w:rPr>
      </w:pPr>
    </w:p>
    <w:tbl>
      <w:tblPr>
        <w:tblW w:w="94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7"/>
        <w:gridCol w:w="2396"/>
        <w:gridCol w:w="1648"/>
        <w:gridCol w:w="1976"/>
      </w:tblGrid>
      <w:tr w:rsidR="004A61EA" w:rsidRPr="001B3E41" w14:paraId="7EC90E57" w14:textId="77777777" w:rsidTr="004A61EA">
        <w:trPr>
          <w:trHeight w:val="285"/>
          <w:tblHeader/>
          <w:jc w:val="right"/>
        </w:trPr>
        <w:tc>
          <w:tcPr>
            <w:tcW w:w="3407" w:type="dxa"/>
            <w:shd w:val="clear" w:color="auto" w:fill="D9D9D9" w:themeFill="background1" w:themeFillShade="D9"/>
            <w:vAlign w:val="center"/>
            <w:hideMark/>
          </w:tcPr>
          <w:p w14:paraId="7DAFEE55" w14:textId="77777777" w:rsidR="004A61EA" w:rsidRPr="001B3E41" w:rsidRDefault="004A61EA" w:rsidP="00907044">
            <w:pPr>
              <w:suppressAutoHyphens w:val="0"/>
              <w:spacing w:after="0" w:line="240" w:lineRule="auto"/>
              <w:jc w:val="center"/>
              <w:textAlignment w:val="baseline"/>
              <w:rPr>
                <w:rFonts w:ascii="Work Sans" w:eastAsia="Times New Roman" w:hAnsi="Work Sans" w:cs="Times New Roman"/>
                <w:lang w:eastAsia="zh-CN"/>
              </w:rPr>
            </w:pPr>
            <w:r w:rsidRPr="001B3E41">
              <w:rPr>
                <w:rFonts w:ascii="Work Sans" w:eastAsia="Times New Roman" w:hAnsi="Work Sans" w:cs="Times New Roman"/>
                <w:b/>
                <w:bCs/>
                <w:color w:val="000000"/>
                <w:lang w:eastAsia="zh-CN"/>
              </w:rPr>
              <w:t>Mercado</w:t>
            </w:r>
            <w:r w:rsidRPr="001B3E41">
              <w:rPr>
                <w:rFonts w:ascii="Work Sans" w:eastAsia="Times New Roman" w:hAnsi="Work Sans" w:cs="Times New Roman"/>
                <w:color w:val="000000"/>
                <w:lang w:eastAsia="zh-CN"/>
              </w:rPr>
              <w:t> </w:t>
            </w:r>
          </w:p>
        </w:tc>
        <w:tc>
          <w:tcPr>
            <w:tcW w:w="2396" w:type="dxa"/>
            <w:shd w:val="clear" w:color="auto" w:fill="D9D9D9" w:themeFill="background1" w:themeFillShade="D9"/>
            <w:vAlign w:val="center"/>
            <w:hideMark/>
          </w:tcPr>
          <w:p w14:paraId="615722E5" w14:textId="77777777" w:rsidR="004A61EA" w:rsidRPr="00480FB2" w:rsidRDefault="004A61EA" w:rsidP="00907044">
            <w:pPr>
              <w:suppressAutoHyphens w:val="0"/>
              <w:spacing w:after="0" w:line="240" w:lineRule="auto"/>
              <w:jc w:val="center"/>
              <w:textAlignment w:val="baseline"/>
              <w:rPr>
                <w:rFonts w:ascii="Work Sans" w:eastAsia="Times New Roman" w:hAnsi="Work Sans" w:cs="Times New Roman"/>
                <w:b/>
                <w:bCs/>
                <w:color w:val="000000"/>
                <w:lang w:eastAsia="zh-CN"/>
              </w:rPr>
            </w:pPr>
            <w:r w:rsidRPr="001B3E41">
              <w:rPr>
                <w:rFonts w:ascii="Work Sans" w:eastAsia="Times New Roman" w:hAnsi="Work Sans" w:cs="Times New Roman"/>
                <w:b/>
                <w:bCs/>
                <w:color w:val="000000"/>
                <w:lang w:eastAsia="zh-CN"/>
              </w:rPr>
              <w:t>Capital</w:t>
            </w:r>
          </w:p>
        </w:tc>
        <w:tc>
          <w:tcPr>
            <w:tcW w:w="1648" w:type="dxa"/>
            <w:shd w:val="clear" w:color="auto" w:fill="D9D9D9" w:themeFill="background1" w:themeFillShade="D9"/>
            <w:vAlign w:val="center"/>
            <w:hideMark/>
          </w:tcPr>
          <w:p w14:paraId="1E46B0DA" w14:textId="77777777" w:rsidR="004A61EA" w:rsidRPr="00480FB2" w:rsidRDefault="004A61EA" w:rsidP="00907044">
            <w:pPr>
              <w:suppressAutoHyphens w:val="0"/>
              <w:spacing w:after="0" w:line="240" w:lineRule="auto"/>
              <w:jc w:val="center"/>
              <w:textAlignment w:val="baseline"/>
              <w:rPr>
                <w:rFonts w:ascii="Work Sans" w:eastAsia="Times New Roman" w:hAnsi="Work Sans" w:cs="Times New Roman"/>
                <w:b/>
                <w:bCs/>
                <w:color w:val="000000"/>
                <w:lang w:eastAsia="zh-CN"/>
              </w:rPr>
            </w:pPr>
            <w:r w:rsidRPr="001B3E41">
              <w:rPr>
                <w:rFonts w:ascii="Work Sans" w:eastAsia="Times New Roman" w:hAnsi="Work Sans" w:cs="Times New Roman"/>
                <w:b/>
                <w:bCs/>
                <w:color w:val="000000"/>
                <w:lang w:eastAsia="zh-CN"/>
              </w:rPr>
              <w:t>Intereses</w:t>
            </w:r>
          </w:p>
        </w:tc>
        <w:tc>
          <w:tcPr>
            <w:tcW w:w="1976" w:type="dxa"/>
            <w:shd w:val="clear" w:color="auto" w:fill="D9D9D9" w:themeFill="background1" w:themeFillShade="D9"/>
            <w:vAlign w:val="center"/>
            <w:hideMark/>
          </w:tcPr>
          <w:p w14:paraId="18FB611B" w14:textId="77777777" w:rsidR="004A61EA" w:rsidRPr="00480FB2" w:rsidRDefault="004A61EA" w:rsidP="00907044">
            <w:pPr>
              <w:suppressAutoHyphens w:val="0"/>
              <w:spacing w:after="0" w:line="240" w:lineRule="auto"/>
              <w:jc w:val="center"/>
              <w:textAlignment w:val="baseline"/>
              <w:rPr>
                <w:rFonts w:ascii="Work Sans" w:eastAsia="Times New Roman" w:hAnsi="Work Sans" w:cs="Times New Roman"/>
                <w:b/>
                <w:bCs/>
                <w:color w:val="000000"/>
                <w:lang w:eastAsia="zh-CN"/>
              </w:rPr>
            </w:pPr>
            <w:r w:rsidRPr="001B3E41">
              <w:rPr>
                <w:rFonts w:ascii="Work Sans" w:eastAsia="Times New Roman" w:hAnsi="Work Sans" w:cs="Times New Roman"/>
                <w:b/>
                <w:bCs/>
                <w:color w:val="000000"/>
                <w:lang w:eastAsia="zh-CN"/>
              </w:rPr>
              <w:t>Total</w:t>
            </w:r>
            <w:r w:rsidRPr="001B3E41">
              <w:rPr>
                <w:rFonts w:ascii="Work Sans" w:eastAsia="Times New Roman" w:hAnsi="Work Sans" w:cs="Times New Roman"/>
                <w:color w:val="000000"/>
                <w:lang w:eastAsia="zh-CN"/>
              </w:rPr>
              <w:t> </w:t>
            </w:r>
          </w:p>
        </w:tc>
      </w:tr>
      <w:tr w:rsidR="004A61EA" w:rsidRPr="001B3E41" w14:paraId="3BF6B467" w14:textId="77777777" w:rsidTr="004A61EA">
        <w:trPr>
          <w:trHeight w:val="285"/>
          <w:jc w:val="right"/>
        </w:trPr>
        <w:tc>
          <w:tcPr>
            <w:tcW w:w="3407" w:type="dxa"/>
            <w:vAlign w:val="center"/>
          </w:tcPr>
          <w:p w14:paraId="02380F07" w14:textId="77777777" w:rsidR="004A61EA" w:rsidRPr="001B3E41" w:rsidRDefault="004A61EA" w:rsidP="00907044">
            <w:pPr>
              <w:suppressAutoHyphens w:val="0"/>
              <w:spacing w:after="0" w:line="240" w:lineRule="auto"/>
              <w:jc w:val="center"/>
              <w:textAlignment w:val="baseline"/>
              <w:rPr>
                <w:rFonts w:ascii="Work Sans" w:eastAsia="Times New Roman" w:hAnsi="Work Sans" w:cs="Times New Roman"/>
                <w:lang w:eastAsia="zh-CN"/>
              </w:rPr>
            </w:pPr>
            <w:r>
              <w:rPr>
                <w:rFonts w:ascii="Work Sans" w:hAnsi="Work Sans" w:cs="Arial"/>
              </w:rPr>
              <w:t>ENEL COLOMBIA</w:t>
            </w:r>
          </w:p>
        </w:tc>
        <w:tc>
          <w:tcPr>
            <w:tcW w:w="2396" w:type="dxa"/>
            <w:vAlign w:val="center"/>
          </w:tcPr>
          <w:p w14:paraId="3BA536EA" w14:textId="3BD75934" w:rsidR="004A61EA" w:rsidRPr="001B3E41" w:rsidRDefault="004A61EA" w:rsidP="00907044">
            <w:pPr>
              <w:suppressAutoHyphens w:val="0"/>
              <w:spacing w:after="0" w:line="240" w:lineRule="auto"/>
              <w:jc w:val="right"/>
              <w:textAlignment w:val="baseline"/>
              <w:rPr>
                <w:rFonts w:ascii="Work Sans" w:eastAsia="Times New Roman" w:hAnsi="Work Sans" w:cs="Times New Roman"/>
                <w:highlight w:val="yellow"/>
                <w:lang w:eastAsia="zh-CN"/>
              </w:rPr>
            </w:pPr>
            <w:r w:rsidRPr="4171C4DC">
              <w:rPr>
                <w:rFonts w:ascii="Work Sans" w:hAnsi="Work Sans"/>
              </w:rPr>
              <w:t>$</w:t>
            </w:r>
            <w:r w:rsidR="0026447A">
              <w:rPr>
                <w:rFonts w:ascii="Work Sans" w:hAnsi="Work Sans"/>
              </w:rPr>
              <w:t>7</w:t>
            </w:r>
            <w:r w:rsidRPr="4171C4DC">
              <w:rPr>
                <w:rFonts w:ascii="Work Sans" w:hAnsi="Work Sans"/>
              </w:rPr>
              <w:t> </w:t>
            </w:r>
          </w:p>
        </w:tc>
        <w:tc>
          <w:tcPr>
            <w:tcW w:w="1648" w:type="dxa"/>
            <w:vAlign w:val="center"/>
          </w:tcPr>
          <w:p w14:paraId="313CE61E" w14:textId="77777777" w:rsidR="004A61EA" w:rsidRPr="001B3E41" w:rsidRDefault="004A61EA" w:rsidP="00907044">
            <w:pPr>
              <w:suppressAutoHyphens w:val="0"/>
              <w:spacing w:after="0" w:line="240" w:lineRule="auto"/>
              <w:jc w:val="right"/>
              <w:textAlignment w:val="baseline"/>
              <w:rPr>
                <w:rFonts w:ascii="Work Sans" w:eastAsia="Times New Roman" w:hAnsi="Work Sans" w:cs="Times New Roman"/>
                <w:highlight w:val="yellow"/>
                <w:lang w:eastAsia="zh-CN"/>
              </w:rPr>
            </w:pPr>
            <w:r w:rsidRPr="4171C4DC">
              <w:rPr>
                <w:rFonts w:ascii="Work Sans" w:hAnsi="Work Sans"/>
              </w:rPr>
              <w:t>$</w:t>
            </w:r>
            <w:r>
              <w:rPr>
                <w:rFonts w:ascii="Work Sans" w:hAnsi="Work Sans"/>
              </w:rPr>
              <w:t>0</w:t>
            </w:r>
            <w:r w:rsidRPr="4171C4DC">
              <w:rPr>
                <w:rFonts w:ascii="Work Sans" w:hAnsi="Work Sans"/>
              </w:rPr>
              <w:t> </w:t>
            </w:r>
          </w:p>
        </w:tc>
        <w:tc>
          <w:tcPr>
            <w:tcW w:w="1976" w:type="dxa"/>
            <w:vAlign w:val="center"/>
          </w:tcPr>
          <w:p w14:paraId="0854E58B" w14:textId="4146E7EB" w:rsidR="004A61EA" w:rsidRPr="001B3E41" w:rsidRDefault="004A61EA" w:rsidP="00907044">
            <w:pPr>
              <w:suppressAutoHyphens w:val="0"/>
              <w:spacing w:after="0" w:line="240" w:lineRule="auto"/>
              <w:jc w:val="right"/>
              <w:textAlignment w:val="baseline"/>
              <w:rPr>
                <w:rFonts w:ascii="Work Sans" w:eastAsia="Times New Roman" w:hAnsi="Work Sans" w:cs="Times New Roman"/>
                <w:highlight w:val="yellow"/>
                <w:lang w:eastAsia="zh-CN"/>
              </w:rPr>
            </w:pPr>
            <w:r w:rsidRPr="4171C4DC">
              <w:rPr>
                <w:rFonts w:ascii="Work Sans" w:hAnsi="Work Sans"/>
              </w:rPr>
              <w:t>$</w:t>
            </w:r>
            <w:r w:rsidR="00BA57D5">
              <w:rPr>
                <w:rFonts w:ascii="Work Sans" w:hAnsi="Work Sans"/>
              </w:rPr>
              <w:t>7</w:t>
            </w:r>
            <w:r w:rsidRPr="4171C4DC">
              <w:rPr>
                <w:rFonts w:ascii="Work Sans" w:hAnsi="Work Sans"/>
              </w:rPr>
              <w:t> </w:t>
            </w:r>
          </w:p>
        </w:tc>
      </w:tr>
    </w:tbl>
    <w:p w14:paraId="578A2AC5" w14:textId="77777777" w:rsidR="00FA0479" w:rsidRPr="00EB1313" w:rsidRDefault="00FA0479" w:rsidP="00FA0479">
      <w:pPr>
        <w:spacing w:after="0" w:line="240" w:lineRule="auto"/>
        <w:ind w:right="51"/>
        <w:contextualSpacing/>
        <w:jc w:val="both"/>
        <w:rPr>
          <w:rFonts w:ascii="Work Sans" w:hAnsi="Work Sans" w:cs="Arial"/>
          <w:sz w:val="24"/>
        </w:rPr>
      </w:pPr>
    </w:p>
    <w:p w14:paraId="6A97B5C9" w14:textId="77777777" w:rsidR="00FA0479" w:rsidRPr="00EB1313" w:rsidRDefault="00FA0479" w:rsidP="00FA0479">
      <w:pPr>
        <w:spacing w:after="0" w:line="240" w:lineRule="auto"/>
        <w:ind w:right="51"/>
        <w:contextualSpacing/>
        <w:jc w:val="both"/>
        <w:rPr>
          <w:rFonts w:ascii="Work Sans" w:hAnsi="Work Sans" w:cs="Arial"/>
          <w:sz w:val="24"/>
        </w:rPr>
      </w:pPr>
      <w:r w:rsidRPr="00EB1313">
        <w:rPr>
          <w:rFonts w:ascii="Work Sans" w:hAnsi="Work Sans" w:cs="Arial"/>
          <w:b/>
          <w:bCs/>
          <w:sz w:val="24"/>
          <w:u w:val="single"/>
        </w:rPr>
        <w:t>Se adjunta la memoria de cálculos</w:t>
      </w:r>
      <w:r>
        <w:rPr>
          <w:rStyle w:val="Refdenotaalpie"/>
          <w:rFonts w:ascii="Work Sans" w:hAnsi="Work Sans" w:cs="Arial"/>
          <w:b/>
          <w:bCs/>
          <w:sz w:val="24"/>
          <w:u w:val="single"/>
        </w:rPr>
        <w:footnoteReference w:id="2"/>
      </w:r>
      <w:r w:rsidRPr="00EB1313">
        <w:rPr>
          <w:rFonts w:ascii="Work Sans" w:hAnsi="Work Sans" w:cs="Arial"/>
          <w:sz w:val="24"/>
        </w:rPr>
        <w:t>.</w:t>
      </w:r>
    </w:p>
    <w:p w14:paraId="5925C146" w14:textId="77777777" w:rsidR="00FA0479" w:rsidRPr="00EB1313" w:rsidRDefault="00FA0479" w:rsidP="00FA0479">
      <w:pPr>
        <w:spacing w:after="0" w:line="240" w:lineRule="auto"/>
        <w:ind w:right="51"/>
        <w:contextualSpacing/>
        <w:jc w:val="both"/>
        <w:rPr>
          <w:rFonts w:ascii="Work Sans" w:hAnsi="Work Sans" w:cs="Arial"/>
          <w:sz w:val="24"/>
        </w:rPr>
      </w:pPr>
    </w:p>
    <w:p w14:paraId="187491CB" w14:textId="77777777" w:rsidR="00FA0479" w:rsidRDefault="00FA0479" w:rsidP="00FA0479">
      <w:pPr>
        <w:spacing w:after="0" w:line="240" w:lineRule="auto"/>
        <w:ind w:right="51"/>
        <w:contextualSpacing/>
        <w:jc w:val="both"/>
        <w:rPr>
          <w:rFonts w:ascii="Work Sans" w:hAnsi="Work Sans" w:cs="Arial"/>
          <w:sz w:val="24"/>
        </w:rPr>
      </w:pPr>
      <w:r>
        <w:rPr>
          <w:rFonts w:ascii="Work Sans" w:hAnsi="Work Sans" w:cs="Arial"/>
          <w:sz w:val="24"/>
        </w:rPr>
        <w:t xml:space="preserve">Considerando que la empresa FRANCA ENERGÍA allegó los soportes de giro de los valores antes señalados, los cuales fueron efectuados </w:t>
      </w:r>
      <w:r w:rsidRPr="00D84002">
        <w:rPr>
          <w:rFonts w:ascii="Work Sans" w:hAnsi="Work Sans" w:cs="Arial"/>
          <w:sz w:val="24"/>
        </w:rPr>
        <w:t>teniendo en cuenta los tiempos de giro establecidos en el literal b) del artículo 2.2.3.2.6.1.4. del Decreto 1073 de 2015</w:t>
      </w:r>
      <w:r>
        <w:rPr>
          <w:rFonts w:ascii="Work Sans" w:hAnsi="Work Sans" w:cs="Arial"/>
          <w:sz w:val="24"/>
        </w:rPr>
        <w:t xml:space="preserve">, no se adelantarán tramites asociados al cobro del valor </w:t>
      </w:r>
      <w:r>
        <w:rPr>
          <w:rFonts w:ascii="Work Sans" w:hAnsi="Work Sans" w:cs="Arial"/>
          <w:sz w:val="24"/>
          <w:szCs w:val="24"/>
        </w:rPr>
        <w:t>pendiente de giro</w:t>
      </w:r>
      <w:r>
        <w:rPr>
          <w:rFonts w:ascii="Work Sans" w:hAnsi="Work Sans" w:cs="Arial"/>
          <w:sz w:val="24"/>
        </w:rPr>
        <w:t xml:space="preserve"> con corte al cierre del presente trimestre.</w:t>
      </w:r>
    </w:p>
    <w:p w14:paraId="4B09D9C9" w14:textId="77777777" w:rsidR="00FA0479" w:rsidRPr="00EB1313" w:rsidRDefault="00FA0479" w:rsidP="00FA0479">
      <w:pPr>
        <w:spacing w:after="0" w:line="240" w:lineRule="auto"/>
        <w:ind w:right="51"/>
        <w:contextualSpacing/>
        <w:jc w:val="both"/>
        <w:rPr>
          <w:rFonts w:ascii="Work Sans" w:hAnsi="Work Sans" w:cs="Arial"/>
          <w:sz w:val="24"/>
        </w:rPr>
      </w:pPr>
    </w:p>
    <w:p w14:paraId="53F4C0F8" w14:textId="77777777" w:rsidR="00FA0479" w:rsidRPr="00EB1313" w:rsidRDefault="00FA0479" w:rsidP="00FA0479">
      <w:pPr>
        <w:spacing w:after="0" w:line="240" w:lineRule="auto"/>
        <w:ind w:right="51"/>
        <w:contextualSpacing/>
        <w:jc w:val="both"/>
        <w:rPr>
          <w:rFonts w:ascii="Work Sans" w:hAnsi="Work Sans" w:cs="Arial"/>
          <w:sz w:val="24"/>
        </w:rPr>
      </w:pPr>
      <w:r w:rsidRPr="00EB1313">
        <w:rPr>
          <w:rFonts w:ascii="Work Sans" w:hAnsi="Work Sans" w:cs="Arial"/>
          <w:sz w:val="24"/>
        </w:rPr>
        <w:t>Por otra parte, se recuerda la obligación de realizar giros oportunos por parte de los agentes retenedores de contribuciones, según lo establecido en el literal b) del artículo 2.2.3.2.6.1.4 del Decreto 1073 de 2015, asimismo, se realizará el cobro de los rendimientos financieros e intereses moratorios a que haya lugar conforme lo establece el parágrafo 4 del literal b) del precitado artículo. La omisión de cumplir la obligación puede conllevar implicaciones legales, específicamente en relación con el tipo penal del artículo 402 de la Ley 599 de 2000.</w:t>
      </w:r>
    </w:p>
    <w:p w14:paraId="6F9BD8D6" w14:textId="77777777" w:rsidR="00FA0479" w:rsidRPr="00EB1313" w:rsidRDefault="00FA0479" w:rsidP="00FA0479">
      <w:pPr>
        <w:spacing w:after="0" w:line="240" w:lineRule="auto"/>
        <w:ind w:right="51"/>
        <w:contextualSpacing/>
        <w:jc w:val="both"/>
        <w:rPr>
          <w:rFonts w:ascii="Work Sans" w:hAnsi="Work Sans" w:cs="Arial"/>
          <w:sz w:val="24"/>
        </w:rPr>
      </w:pPr>
    </w:p>
    <w:p w14:paraId="48DA756A" w14:textId="77777777" w:rsidR="00FA0479" w:rsidRPr="00EB1313" w:rsidRDefault="00FA0479" w:rsidP="00FA0479">
      <w:pPr>
        <w:spacing w:after="0" w:line="240" w:lineRule="auto"/>
        <w:ind w:right="51"/>
        <w:contextualSpacing/>
        <w:jc w:val="both"/>
        <w:rPr>
          <w:rFonts w:ascii="Work Sans" w:hAnsi="Work Sans" w:cs="Arial"/>
          <w:sz w:val="24"/>
        </w:rPr>
      </w:pPr>
      <w:r w:rsidRPr="00EB1313">
        <w:rPr>
          <w:rFonts w:ascii="Work Sans" w:hAnsi="Work Sans" w:cs="Arial"/>
          <w:sz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7FD73E18" w14:textId="77777777" w:rsidR="00FA0479" w:rsidRPr="00EB1313" w:rsidRDefault="00FA0479" w:rsidP="00FA0479">
      <w:pPr>
        <w:spacing w:after="0" w:line="240" w:lineRule="auto"/>
        <w:ind w:right="51"/>
        <w:contextualSpacing/>
        <w:jc w:val="both"/>
        <w:rPr>
          <w:rFonts w:ascii="Work Sans" w:hAnsi="Work Sans" w:cs="Arial"/>
          <w:sz w:val="24"/>
          <w:highlight w:val="yellow"/>
        </w:rPr>
      </w:pPr>
    </w:p>
    <w:p w14:paraId="7F631C2F" w14:textId="7F760FB5" w:rsidR="00484A5A" w:rsidRPr="00EB1313" w:rsidRDefault="00FA0479" w:rsidP="00FA0479">
      <w:pPr>
        <w:spacing w:after="0" w:line="240" w:lineRule="auto"/>
        <w:ind w:right="51"/>
        <w:contextualSpacing/>
        <w:jc w:val="both"/>
        <w:rPr>
          <w:rFonts w:ascii="Work Sans" w:hAnsi="Work Sans" w:cs="Arial"/>
          <w:sz w:val="24"/>
        </w:rPr>
      </w:pPr>
      <w:r w:rsidRPr="00EB1313">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41C2B" w14:textId="77777777" w:rsidR="00303C85" w:rsidRDefault="00303C85">
      <w:pPr>
        <w:spacing w:after="0" w:line="240" w:lineRule="auto"/>
      </w:pPr>
      <w:r>
        <w:separator/>
      </w:r>
    </w:p>
  </w:endnote>
  <w:endnote w:type="continuationSeparator" w:id="0">
    <w:p w14:paraId="417184E9" w14:textId="77777777" w:rsidR="00303C85" w:rsidRDefault="00303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95F0" w14:textId="77777777" w:rsidR="00303C85" w:rsidRDefault="00303C85">
      <w:pPr>
        <w:spacing w:after="0" w:line="240" w:lineRule="auto"/>
      </w:pPr>
      <w:r>
        <w:separator/>
      </w:r>
    </w:p>
  </w:footnote>
  <w:footnote w:type="continuationSeparator" w:id="0">
    <w:p w14:paraId="7DD46C13" w14:textId="77777777" w:rsidR="00303C85" w:rsidRDefault="00303C85">
      <w:pPr>
        <w:spacing w:after="0" w:line="240" w:lineRule="auto"/>
      </w:pPr>
      <w:r>
        <w:continuationSeparator/>
      </w:r>
    </w:p>
  </w:footnote>
  <w:footnote w:id="1">
    <w:p w14:paraId="6F458FA8" w14:textId="77777777" w:rsidR="00FA0479" w:rsidRPr="007117F7" w:rsidRDefault="00FA0479" w:rsidP="00FA0479">
      <w:pPr>
        <w:pStyle w:val="Textonotapie"/>
        <w:rPr>
          <w:rFonts w:ascii="Work Sans" w:hAnsi="Work Sans"/>
          <w:sz w:val="16"/>
          <w:szCs w:val="16"/>
        </w:rPr>
      </w:pPr>
      <w:r w:rsidRPr="007117F7">
        <w:rPr>
          <w:rStyle w:val="Refdenotaalpie"/>
          <w:rFonts w:ascii="Work Sans" w:hAnsi="Work Sans"/>
          <w:sz w:val="16"/>
          <w:szCs w:val="16"/>
        </w:rPr>
        <w:footnoteRef/>
      </w:r>
      <w:r w:rsidRPr="007117F7">
        <w:rPr>
          <w:rFonts w:ascii="Work Sans" w:hAnsi="Work Sans"/>
          <w:sz w:val="16"/>
          <w:szCs w:val="16"/>
        </w:rPr>
        <w:t xml:space="preserve"> El giro se puede efectuar directamente al FSSRI o a través de los comercializadores incumbentes.</w:t>
      </w:r>
    </w:p>
  </w:footnote>
  <w:footnote w:id="2">
    <w:p w14:paraId="5AA51871" w14:textId="77777777" w:rsidR="00FA0479" w:rsidRDefault="00FA0479" w:rsidP="00FA0479">
      <w:pPr>
        <w:pStyle w:val="Textonotapie"/>
      </w:pPr>
      <w:r w:rsidRPr="007117F7">
        <w:rPr>
          <w:rStyle w:val="Refdenotaalpie"/>
          <w:rFonts w:ascii="Work Sans" w:hAnsi="Work Sans"/>
          <w:sz w:val="16"/>
          <w:szCs w:val="16"/>
        </w:rPr>
        <w:footnoteRef/>
      </w:r>
      <w:r w:rsidRPr="007117F7">
        <w:rPr>
          <w:rFonts w:ascii="Work Sans" w:hAnsi="Work Sans"/>
          <w:sz w:val="16"/>
          <w:szCs w:val="16"/>
        </w:rPr>
        <w:t xml:space="preserve"> La memoria de cálculos se presenta en el anexo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ABB"/>
    <w:multiLevelType w:val="hybridMultilevel"/>
    <w:tmpl w:val="F878D8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0110174"/>
    <w:multiLevelType w:val="hybridMultilevel"/>
    <w:tmpl w:val="ED3C9DB0"/>
    <w:lvl w:ilvl="0" w:tplc="240A0001">
      <w:start w:val="1"/>
      <w:numFmt w:val="bullet"/>
      <w:lvlText w:val=""/>
      <w:lvlJc w:val="left"/>
      <w:pPr>
        <w:ind w:left="792" w:hanging="360"/>
      </w:pPr>
      <w:rPr>
        <w:rFonts w:ascii="Symbol" w:hAnsi="Symbol" w:hint="default"/>
      </w:rPr>
    </w:lvl>
    <w:lvl w:ilvl="1" w:tplc="240A0003" w:tentative="1">
      <w:start w:val="1"/>
      <w:numFmt w:val="bullet"/>
      <w:lvlText w:val="o"/>
      <w:lvlJc w:val="left"/>
      <w:pPr>
        <w:ind w:left="1512" w:hanging="360"/>
      </w:pPr>
      <w:rPr>
        <w:rFonts w:ascii="Courier New" w:hAnsi="Courier New" w:cs="Courier New" w:hint="default"/>
      </w:rPr>
    </w:lvl>
    <w:lvl w:ilvl="2" w:tplc="240A0005" w:tentative="1">
      <w:start w:val="1"/>
      <w:numFmt w:val="bullet"/>
      <w:lvlText w:val=""/>
      <w:lvlJc w:val="left"/>
      <w:pPr>
        <w:ind w:left="2232" w:hanging="360"/>
      </w:pPr>
      <w:rPr>
        <w:rFonts w:ascii="Wingdings" w:hAnsi="Wingdings" w:hint="default"/>
      </w:rPr>
    </w:lvl>
    <w:lvl w:ilvl="3" w:tplc="240A0001" w:tentative="1">
      <w:start w:val="1"/>
      <w:numFmt w:val="bullet"/>
      <w:lvlText w:val=""/>
      <w:lvlJc w:val="left"/>
      <w:pPr>
        <w:ind w:left="2952" w:hanging="360"/>
      </w:pPr>
      <w:rPr>
        <w:rFonts w:ascii="Symbol" w:hAnsi="Symbol" w:hint="default"/>
      </w:rPr>
    </w:lvl>
    <w:lvl w:ilvl="4" w:tplc="240A0003" w:tentative="1">
      <w:start w:val="1"/>
      <w:numFmt w:val="bullet"/>
      <w:lvlText w:val="o"/>
      <w:lvlJc w:val="left"/>
      <w:pPr>
        <w:ind w:left="3672" w:hanging="360"/>
      </w:pPr>
      <w:rPr>
        <w:rFonts w:ascii="Courier New" w:hAnsi="Courier New" w:cs="Courier New" w:hint="default"/>
      </w:rPr>
    </w:lvl>
    <w:lvl w:ilvl="5" w:tplc="240A0005" w:tentative="1">
      <w:start w:val="1"/>
      <w:numFmt w:val="bullet"/>
      <w:lvlText w:val=""/>
      <w:lvlJc w:val="left"/>
      <w:pPr>
        <w:ind w:left="4392" w:hanging="360"/>
      </w:pPr>
      <w:rPr>
        <w:rFonts w:ascii="Wingdings" w:hAnsi="Wingdings" w:hint="default"/>
      </w:rPr>
    </w:lvl>
    <w:lvl w:ilvl="6" w:tplc="240A0001" w:tentative="1">
      <w:start w:val="1"/>
      <w:numFmt w:val="bullet"/>
      <w:lvlText w:val=""/>
      <w:lvlJc w:val="left"/>
      <w:pPr>
        <w:ind w:left="5112" w:hanging="360"/>
      </w:pPr>
      <w:rPr>
        <w:rFonts w:ascii="Symbol" w:hAnsi="Symbol" w:hint="default"/>
      </w:rPr>
    </w:lvl>
    <w:lvl w:ilvl="7" w:tplc="240A0003" w:tentative="1">
      <w:start w:val="1"/>
      <w:numFmt w:val="bullet"/>
      <w:lvlText w:val="o"/>
      <w:lvlJc w:val="left"/>
      <w:pPr>
        <w:ind w:left="5832" w:hanging="360"/>
      </w:pPr>
      <w:rPr>
        <w:rFonts w:ascii="Courier New" w:hAnsi="Courier New" w:cs="Courier New" w:hint="default"/>
      </w:rPr>
    </w:lvl>
    <w:lvl w:ilvl="8" w:tplc="240A0005" w:tentative="1">
      <w:start w:val="1"/>
      <w:numFmt w:val="bullet"/>
      <w:lvlText w:val=""/>
      <w:lvlJc w:val="left"/>
      <w:pPr>
        <w:ind w:left="6552" w:hanging="360"/>
      </w:pPr>
      <w:rPr>
        <w:rFonts w:ascii="Wingdings" w:hAnsi="Wingdings" w:hint="default"/>
      </w:rPr>
    </w:lvl>
  </w:abstractNum>
  <w:abstractNum w:abstractNumId="2" w15:restartNumberingAfterBreak="0">
    <w:nsid w:val="244100A7"/>
    <w:multiLevelType w:val="hybridMultilevel"/>
    <w:tmpl w:val="5C48C364"/>
    <w:lvl w:ilvl="0" w:tplc="85241A24">
      <w:start w:val="1"/>
      <w:numFmt w:val="decimal"/>
      <w:lvlText w:val="%1."/>
      <w:lvlJc w:val="left"/>
      <w:pPr>
        <w:ind w:left="720" w:hanging="360"/>
      </w:pPr>
    </w:lvl>
    <w:lvl w:ilvl="1" w:tplc="1730E788">
      <w:start w:val="1"/>
      <w:numFmt w:val="decimal"/>
      <w:lvlText w:val="%2."/>
      <w:lvlJc w:val="left"/>
      <w:pPr>
        <w:ind w:left="720" w:hanging="360"/>
      </w:pPr>
    </w:lvl>
    <w:lvl w:ilvl="2" w:tplc="D1925A2C">
      <w:start w:val="1"/>
      <w:numFmt w:val="decimal"/>
      <w:lvlText w:val="%3."/>
      <w:lvlJc w:val="left"/>
      <w:pPr>
        <w:ind w:left="720" w:hanging="360"/>
      </w:pPr>
    </w:lvl>
    <w:lvl w:ilvl="3" w:tplc="AE82535A">
      <w:start w:val="1"/>
      <w:numFmt w:val="decimal"/>
      <w:lvlText w:val="%4."/>
      <w:lvlJc w:val="left"/>
      <w:pPr>
        <w:ind w:left="720" w:hanging="360"/>
      </w:pPr>
    </w:lvl>
    <w:lvl w:ilvl="4" w:tplc="FBD2646C">
      <w:start w:val="1"/>
      <w:numFmt w:val="decimal"/>
      <w:lvlText w:val="%5."/>
      <w:lvlJc w:val="left"/>
      <w:pPr>
        <w:ind w:left="720" w:hanging="360"/>
      </w:pPr>
    </w:lvl>
    <w:lvl w:ilvl="5" w:tplc="F226306C">
      <w:start w:val="1"/>
      <w:numFmt w:val="decimal"/>
      <w:lvlText w:val="%6."/>
      <w:lvlJc w:val="left"/>
      <w:pPr>
        <w:ind w:left="720" w:hanging="360"/>
      </w:pPr>
    </w:lvl>
    <w:lvl w:ilvl="6" w:tplc="FF6C8AC6">
      <w:start w:val="1"/>
      <w:numFmt w:val="decimal"/>
      <w:lvlText w:val="%7."/>
      <w:lvlJc w:val="left"/>
      <w:pPr>
        <w:ind w:left="720" w:hanging="360"/>
      </w:pPr>
    </w:lvl>
    <w:lvl w:ilvl="7" w:tplc="3CF03218">
      <w:start w:val="1"/>
      <w:numFmt w:val="decimal"/>
      <w:lvlText w:val="%8."/>
      <w:lvlJc w:val="left"/>
      <w:pPr>
        <w:ind w:left="720" w:hanging="360"/>
      </w:pPr>
    </w:lvl>
    <w:lvl w:ilvl="8" w:tplc="2D6032B2">
      <w:start w:val="1"/>
      <w:numFmt w:val="decimal"/>
      <w:lvlText w:val="%9."/>
      <w:lvlJc w:val="left"/>
      <w:pPr>
        <w:ind w:left="720" w:hanging="360"/>
      </w:pPr>
    </w:lvl>
  </w:abstractNum>
  <w:abstractNum w:abstractNumId="3" w15:restartNumberingAfterBreak="0">
    <w:nsid w:val="2E385D6D"/>
    <w:multiLevelType w:val="hybridMultilevel"/>
    <w:tmpl w:val="1FEAC184"/>
    <w:lvl w:ilvl="0" w:tplc="C4D019D0">
      <w:start w:val="1"/>
      <w:numFmt w:val="lowerLetter"/>
      <w:lvlText w:val="%1)"/>
      <w:lvlJc w:val="left"/>
      <w:pPr>
        <w:ind w:left="720" w:hanging="360"/>
      </w:pPr>
      <w:rPr>
        <w:rFonts w:cs="Times New Roman" w:hint="default"/>
        <w:b w:val="0"/>
        <w:sz w:val="24"/>
        <w:szCs w:val="24"/>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C1628F"/>
    <w:multiLevelType w:val="hybridMultilevel"/>
    <w:tmpl w:val="F878D814"/>
    <w:lvl w:ilvl="0" w:tplc="240A0017">
      <w:start w:val="1"/>
      <w:numFmt w:val="lowerLetter"/>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51DF253D"/>
    <w:multiLevelType w:val="hybridMultilevel"/>
    <w:tmpl w:val="9F0C1DFC"/>
    <w:lvl w:ilvl="0" w:tplc="B4688F0C">
      <w:start w:val="1"/>
      <w:numFmt w:val="decimal"/>
      <w:lvlText w:val="(%1)"/>
      <w:lvlJc w:val="left"/>
      <w:pPr>
        <w:ind w:left="360" w:hanging="360"/>
      </w:pPr>
      <w:rPr>
        <w:rFonts w:ascii="Work Sans" w:hAnsi="Work Sans" w:hint="default"/>
        <w:sz w:val="18"/>
        <w:szCs w:val="18"/>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6CF655AC"/>
    <w:multiLevelType w:val="hybridMultilevel"/>
    <w:tmpl w:val="A790D6D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13273289">
    <w:abstractNumId w:val="3"/>
  </w:num>
  <w:num w:numId="2" w16cid:durableId="1479103417">
    <w:abstractNumId w:val="1"/>
  </w:num>
  <w:num w:numId="3" w16cid:durableId="1550067399">
    <w:abstractNumId w:val="4"/>
  </w:num>
  <w:num w:numId="4" w16cid:durableId="569769994">
    <w:abstractNumId w:val="0"/>
  </w:num>
  <w:num w:numId="5" w16cid:durableId="1859925964">
    <w:abstractNumId w:val="6"/>
  </w:num>
  <w:num w:numId="6" w16cid:durableId="1073819678">
    <w:abstractNumId w:val="5"/>
  </w:num>
  <w:num w:numId="7" w16cid:durableId="516693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3E62"/>
    <w:rsid w:val="00014DF5"/>
    <w:rsid w:val="00027169"/>
    <w:rsid w:val="000305B6"/>
    <w:rsid w:val="0004104F"/>
    <w:rsid w:val="000418C8"/>
    <w:rsid w:val="00066D0D"/>
    <w:rsid w:val="00081BD4"/>
    <w:rsid w:val="00093477"/>
    <w:rsid w:val="000D16DD"/>
    <w:rsid w:val="000D4E95"/>
    <w:rsid w:val="000D6A77"/>
    <w:rsid w:val="000E70E6"/>
    <w:rsid w:val="000F04C1"/>
    <w:rsid w:val="000F55FF"/>
    <w:rsid w:val="00144580"/>
    <w:rsid w:val="00154763"/>
    <w:rsid w:val="0015591E"/>
    <w:rsid w:val="001570DB"/>
    <w:rsid w:val="00166FC6"/>
    <w:rsid w:val="0018083C"/>
    <w:rsid w:val="001818F1"/>
    <w:rsid w:val="00182257"/>
    <w:rsid w:val="00186159"/>
    <w:rsid w:val="00192395"/>
    <w:rsid w:val="001953B9"/>
    <w:rsid w:val="001A5FE2"/>
    <w:rsid w:val="001B2128"/>
    <w:rsid w:val="001B3E41"/>
    <w:rsid w:val="001C4468"/>
    <w:rsid w:val="001C5A0B"/>
    <w:rsid w:val="00200029"/>
    <w:rsid w:val="00205FF0"/>
    <w:rsid w:val="00220F56"/>
    <w:rsid w:val="002305E3"/>
    <w:rsid w:val="002478C2"/>
    <w:rsid w:val="00260983"/>
    <w:rsid w:val="00262ACE"/>
    <w:rsid w:val="00264070"/>
    <w:rsid w:val="0026447A"/>
    <w:rsid w:val="002721D1"/>
    <w:rsid w:val="00287818"/>
    <w:rsid w:val="002A3E1E"/>
    <w:rsid w:val="002B1056"/>
    <w:rsid w:val="002B12A1"/>
    <w:rsid w:val="002B6A69"/>
    <w:rsid w:val="002C5B49"/>
    <w:rsid w:val="002D1BF0"/>
    <w:rsid w:val="0030381D"/>
    <w:rsid w:val="00303C85"/>
    <w:rsid w:val="003121A9"/>
    <w:rsid w:val="00330E53"/>
    <w:rsid w:val="00335B16"/>
    <w:rsid w:val="0033794C"/>
    <w:rsid w:val="003602FD"/>
    <w:rsid w:val="003768C6"/>
    <w:rsid w:val="003A02AC"/>
    <w:rsid w:val="003A281F"/>
    <w:rsid w:val="003A46F4"/>
    <w:rsid w:val="003B2B73"/>
    <w:rsid w:val="003B3677"/>
    <w:rsid w:val="003B39D7"/>
    <w:rsid w:val="003C0CF2"/>
    <w:rsid w:val="003C1E56"/>
    <w:rsid w:val="003C4224"/>
    <w:rsid w:val="003C7440"/>
    <w:rsid w:val="003C7DBE"/>
    <w:rsid w:val="003D02FA"/>
    <w:rsid w:val="00410D2F"/>
    <w:rsid w:val="00417420"/>
    <w:rsid w:val="004311FF"/>
    <w:rsid w:val="00435F3F"/>
    <w:rsid w:val="004451DC"/>
    <w:rsid w:val="00446B83"/>
    <w:rsid w:val="004540B4"/>
    <w:rsid w:val="00454BD3"/>
    <w:rsid w:val="00456ADE"/>
    <w:rsid w:val="00461190"/>
    <w:rsid w:val="004679ED"/>
    <w:rsid w:val="00480BFA"/>
    <w:rsid w:val="00480FB2"/>
    <w:rsid w:val="00484A5A"/>
    <w:rsid w:val="004860FF"/>
    <w:rsid w:val="00491710"/>
    <w:rsid w:val="00496E70"/>
    <w:rsid w:val="004A24E5"/>
    <w:rsid w:val="004A61EA"/>
    <w:rsid w:val="004B08AD"/>
    <w:rsid w:val="004C0975"/>
    <w:rsid w:val="004C122B"/>
    <w:rsid w:val="004C1C44"/>
    <w:rsid w:val="004E5F43"/>
    <w:rsid w:val="004F2D1F"/>
    <w:rsid w:val="004F59E6"/>
    <w:rsid w:val="004F66E4"/>
    <w:rsid w:val="00502612"/>
    <w:rsid w:val="00515343"/>
    <w:rsid w:val="00517337"/>
    <w:rsid w:val="005225C6"/>
    <w:rsid w:val="00537849"/>
    <w:rsid w:val="00541316"/>
    <w:rsid w:val="00543115"/>
    <w:rsid w:val="00550CB5"/>
    <w:rsid w:val="00560F92"/>
    <w:rsid w:val="005617AA"/>
    <w:rsid w:val="005646C4"/>
    <w:rsid w:val="00576251"/>
    <w:rsid w:val="0059323D"/>
    <w:rsid w:val="00597CC8"/>
    <w:rsid w:val="005B52AA"/>
    <w:rsid w:val="005C27EC"/>
    <w:rsid w:val="00626789"/>
    <w:rsid w:val="00626C45"/>
    <w:rsid w:val="00640E5A"/>
    <w:rsid w:val="00640E60"/>
    <w:rsid w:val="00643172"/>
    <w:rsid w:val="0065269A"/>
    <w:rsid w:val="00664347"/>
    <w:rsid w:val="006659ED"/>
    <w:rsid w:val="00671E08"/>
    <w:rsid w:val="006733B7"/>
    <w:rsid w:val="00695F74"/>
    <w:rsid w:val="006A1537"/>
    <w:rsid w:val="006B58D9"/>
    <w:rsid w:val="006F58F7"/>
    <w:rsid w:val="00700C02"/>
    <w:rsid w:val="0070144D"/>
    <w:rsid w:val="00705C11"/>
    <w:rsid w:val="007130C4"/>
    <w:rsid w:val="00716267"/>
    <w:rsid w:val="00733811"/>
    <w:rsid w:val="00737BC0"/>
    <w:rsid w:val="00741B69"/>
    <w:rsid w:val="007433B2"/>
    <w:rsid w:val="00761E1A"/>
    <w:rsid w:val="00762853"/>
    <w:rsid w:val="00775098"/>
    <w:rsid w:val="007814C1"/>
    <w:rsid w:val="007826E8"/>
    <w:rsid w:val="00787005"/>
    <w:rsid w:val="007A5A72"/>
    <w:rsid w:val="007C54BD"/>
    <w:rsid w:val="007E0D9D"/>
    <w:rsid w:val="007F5A6A"/>
    <w:rsid w:val="00830730"/>
    <w:rsid w:val="00832521"/>
    <w:rsid w:val="0084588E"/>
    <w:rsid w:val="008532B1"/>
    <w:rsid w:val="00880315"/>
    <w:rsid w:val="008840E8"/>
    <w:rsid w:val="008866B1"/>
    <w:rsid w:val="00892C0E"/>
    <w:rsid w:val="008A70BA"/>
    <w:rsid w:val="008B0751"/>
    <w:rsid w:val="008E010D"/>
    <w:rsid w:val="008E4ABF"/>
    <w:rsid w:val="008F04CA"/>
    <w:rsid w:val="00910A20"/>
    <w:rsid w:val="00924659"/>
    <w:rsid w:val="00926866"/>
    <w:rsid w:val="00934FB6"/>
    <w:rsid w:val="009359F1"/>
    <w:rsid w:val="00944D89"/>
    <w:rsid w:val="00951E97"/>
    <w:rsid w:val="0096597D"/>
    <w:rsid w:val="009715ED"/>
    <w:rsid w:val="00973F22"/>
    <w:rsid w:val="00981241"/>
    <w:rsid w:val="00984700"/>
    <w:rsid w:val="009A0AC2"/>
    <w:rsid w:val="009A29B5"/>
    <w:rsid w:val="009A7AB6"/>
    <w:rsid w:val="009E5228"/>
    <w:rsid w:val="009F4DAA"/>
    <w:rsid w:val="00A10A7C"/>
    <w:rsid w:val="00A10C3B"/>
    <w:rsid w:val="00A1121F"/>
    <w:rsid w:val="00A14182"/>
    <w:rsid w:val="00A2333A"/>
    <w:rsid w:val="00A3590E"/>
    <w:rsid w:val="00A46501"/>
    <w:rsid w:val="00A52A80"/>
    <w:rsid w:val="00A53799"/>
    <w:rsid w:val="00A64679"/>
    <w:rsid w:val="00A735F0"/>
    <w:rsid w:val="00A86526"/>
    <w:rsid w:val="00A8754C"/>
    <w:rsid w:val="00A91294"/>
    <w:rsid w:val="00A95893"/>
    <w:rsid w:val="00AA12BB"/>
    <w:rsid w:val="00AA27B5"/>
    <w:rsid w:val="00AA357E"/>
    <w:rsid w:val="00AA3FE3"/>
    <w:rsid w:val="00AD43C1"/>
    <w:rsid w:val="00AD4C98"/>
    <w:rsid w:val="00AF16E7"/>
    <w:rsid w:val="00B150C4"/>
    <w:rsid w:val="00B347A3"/>
    <w:rsid w:val="00B35823"/>
    <w:rsid w:val="00B36397"/>
    <w:rsid w:val="00B4250F"/>
    <w:rsid w:val="00B51607"/>
    <w:rsid w:val="00B70E20"/>
    <w:rsid w:val="00B7295D"/>
    <w:rsid w:val="00B87221"/>
    <w:rsid w:val="00B87644"/>
    <w:rsid w:val="00B9770D"/>
    <w:rsid w:val="00BA57D5"/>
    <w:rsid w:val="00BD6391"/>
    <w:rsid w:val="00BF767F"/>
    <w:rsid w:val="00C0455B"/>
    <w:rsid w:val="00C060B0"/>
    <w:rsid w:val="00C23706"/>
    <w:rsid w:val="00C24E4A"/>
    <w:rsid w:val="00C4502F"/>
    <w:rsid w:val="00C87D00"/>
    <w:rsid w:val="00C93C61"/>
    <w:rsid w:val="00C93F17"/>
    <w:rsid w:val="00CA385F"/>
    <w:rsid w:val="00CB5F4F"/>
    <w:rsid w:val="00CC608A"/>
    <w:rsid w:val="00CD5CBC"/>
    <w:rsid w:val="00D22BC7"/>
    <w:rsid w:val="00D27C0F"/>
    <w:rsid w:val="00D33AAE"/>
    <w:rsid w:val="00D34BB9"/>
    <w:rsid w:val="00D4223A"/>
    <w:rsid w:val="00D45180"/>
    <w:rsid w:val="00D47C06"/>
    <w:rsid w:val="00D5014E"/>
    <w:rsid w:val="00D50599"/>
    <w:rsid w:val="00D84002"/>
    <w:rsid w:val="00DC2C87"/>
    <w:rsid w:val="00DC7B37"/>
    <w:rsid w:val="00DE1913"/>
    <w:rsid w:val="00DE2C06"/>
    <w:rsid w:val="00DE64FD"/>
    <w:rsid w:val="00E00D2E"/>
    <w:rsid w:val="00E113E2"/>
    <w:rsid w:val="00E37AC0"/>
    <w:rsid w:val="00E42E48"/>
    <w:rsid w:val="00E52103"/>
    <w:rsid w:val="00E54248"/>
    <w:rsid w:val="00E57956"/>
    <w:rsid w:val="00E740C0"/>
    <w:rsid w:val="00E823F2"/>
    <w:rsid w:val="00EB1313"/>
    <w:rsid w:val="00EB2FE8"/>
    <w:rsid w:val="00EB3862"/>
    <w:rsid w:val="00EC4373"/>
    <w:rsid w:val="00EE61A7"/>
    <w:rsid w:val="00EF77C2"/>
    <w:rsid w:val="00F12871"/>
    <w:rsid w:val="00F1760C"/>
    <w:rsid w:val="00F225A5"/>
    <w:rsid w:val="00F23A8B"/>
    <w:rsid w:val="00F26B94"/>
    <w:rsid w:val="00F33097"/>
    <w:rsid w:val="00F6750A"/>
    <w:rsid w:val="00F719F7"/>
    <w:rsid w:val="00F80A1F"/>
    <w:rsid w:val="00F94C11"/>
    <w:rsid w:val="00FA0479"/>
    <w:rsid w:val="00FA166A"/>
    <w:rsid w:val="00FA23B3"/>
    <w:rsid w:val="00FA439A"/>
    <w:rsid w:val="00FA5E7A"/>
    <w:rsid w:val="00FB16B3"/>
    <w:rsid w:val="00FB7D0C"/>
    <w:rsid w:val="00FC53B2"/>
    <w:rsid w:val="00FD392C"/>
    <w:rsid w:val="00FD5473"/>
    <w:rsid w:val="00FF576E"/>
    <w:rsid w:val="00FF5842"/>
    <w:rsid w:val="051F28FE"/>
    <w:rsid w:val="131AD3A1"/>
    <w:rsid w:val="15844844"/>
    <w:rsid w:val="33D4F330"/>
    <w:rsid w:val="3F32B060"/>
    <w:rsid w:val="4171C4DC"/>
    <w:rsid w:val="42C6EC6E"/>
    <w:rsid w:val="4CC5AAAC"/>
    <w:rsid w:val="58E71470"/>
    <w:rsid w:val="5935715E"/>
    <w:rsid w:val="5C65018A"/>
    <w:rsid w:val="69D9CB24"/>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qFormat/>
    <w:rsid w:val="00287818"/>
    <w:pPr>
      <w:ind w:left="720"/>
      <w:contextualSpacing/>
    </w:pPr>
  </w:style>
  <w:style w:type="paragraph" w:styleId="Textonotapie">
    <w:name w:val="footnote text"/>
    <w:basedOn w:val="Normal"/>
    <w:link w:val="TextonotapieCar"/>
    <w:uiPriority w:val="99"/>
    <w:semiHidden/>
    <w:unhideWhenUsed/>
    <w:rsid w:val="0028781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7818"/>
    <w:rPr>
      <w:sz w:val="20"/>
      <w:szCs w:val="20"/>
    </w:rPr>
  </w:style>
  <w:style w:type="character" w:styleId="Refdenotaalpie">
    <w:name w:val="footnote reference"/>
    <w:basedOn w:val="Fuentedeprrafopredeter"/>
    <w:uiPriority w:val="99"/>
    <w:semiHidden/>
    <w:unhideWhenUsed/>
    <w:rsid w:val="00287818"/>
    <w:rPr>
      <w:vertAlign w:val="superscript"/>
    </w:rPr>
  </w:style>
  <w:style w:type="table" w:styleId="Tablaconcuadrcula">
    <w:name w:val="Table Grid"/>
    <w:basedOn w:val="Tablanormal"/>
    <w:uiPriority w:val="39"/>
    <w:rsid w:val="0028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7818"/>
    <w:pPr>
      <w:suppressAutoHyphens w:val="0"/>
      <w:autoSpaceDE w:val="0"/>
      <w:autoSpaceDN w:val="0"/>
      <w:adjustRightInd w:val="0"/>
    </w:pPr>
    <w:rPr>
      <w:rFonts w:ascii="Work Sans" w:hAnsi="Work Sans" w:cs="Work Sans"/>
      <w:color w:val="000000"/>
      <w:sz w:val="24"/>
      <w:szCs w:val="24"/>
    </w:rPr>
  </w:style>
  <w:style w:type="character" w:styleId="Refdecomentario">
    <w:name w:val="annotation reference"/>
    <w:basedOn w:val="Fuentedeprrafopredeter"/>
    <w:uiPriority w:val="99"/>
    <w:semiHidden/>
    <w:unhideWhenUsed/>
    <w:rsid w:val="00C93F17"/>
    <w:rPr>
      <w:sz w:val="16"/>
      <w:szCs w:val="16"/>
    </w:rPr>
  </w:style>
  <w:style w:type="paragraph" w:styleId="Textocomentario">
    <w:name w:val="annotation text"/>
    <w:basedOn w:val="Normal"/>
    <w:link w:val="TextocomentarioCar"/>
    <w:uiPriority w:val="99"/>
    <w:unhideWhenUsed/>
    <w:rsid w:val="00C93F17"/>
    <w:pPr>
      <w:spacing w:line="240" w:lineRule="auto"/>
    </w:pPr>
    <w:rPr>
      <w:sz w:val="20"/>
      <w:szCs w:val="20"/>
    </w:rPr>
  </w:style>
  <w:style w:type="character" w:customStyle="1" w:styleId="TextocomentarioCar">
    <w:name w:val="Texto comentario Car"/>
    <w:basedOn w:val="Fuentedeprrafopredeter"/>
    <w:link w:val="Textocomentario"/>
    <w:uiPriority w:val="99"/>
    <w:rsid w:val="00C93F17"/>
    <w:rPr>
      <w:sz w:val="20"/>
      <w:szCs w:val="20"/>
    </w:rPr>
  </w:style>
  <w:style w:type="paragraph" w:styleId="Asuntodelcomentario">
    <w:name w:val="annotation subject"/>
    <w:basedOn w:val="Textocomentario"/>
    <w:next w:val="Textocomentario"/>
    <w:link w:val="AsuntodelcomentarioCar"/>
    <w:uiPriority w:val="99"/>
    <w:semiHidden/>
    <w:unhideWhenUsed/>
    <w:rsid w:val="004C1C44"/>
    <w:rPr>
      <w:b/>
      <w:bCs/>
    </w:rPr>
  </w:style>
  <w:style w:type="character" w:customStyle="1" w:styleId="AsuntodelcomentarioCar">
    <w:name w:val="Asunto del comentario Car"/>
    <w:basedOn w:val="TextocomentarioCar"/>
    <w:link w:val="Asuntodelcomentario"/>
    <w:uiPriority w:val="99"/>
    <w:semiHidden/>
    <w:rsid w:val="004C1C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ec9227cf79233cf8be73d6886f35e2fe">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2c69c0c1d2d84d1613eebbf5f04e3c4"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B6188-EDCB-4F5D-B51E-2119B4C80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ED61-082E-4C2D-96AE-7DA7A10DA3D1}">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3.xml><?xml version="1.0" encoding="utf-8"?>
<ds:datastoreItem xmlns:ds="http://schemas.openxmlformats.org/officeDocument/2006/customXml" ds:itemID="{B1C3AB5D-E6B4-4EBE-AA0A-6C076D236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740</Words>
  <Characters>4075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JOHAN ESTEBAN MENDIETA CASTANEDA</cp:lastModifiedBy>
  <cp:revision>201</cp:revision>
  <dcterms:created xsi:type="dcterms:W3CDTF">2023-05-19T18:25:00Z</dcterms:created>
  <dcterms:modified xsi:type="dcterms:W3CDTF">2026-06-30T20:48:00Z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